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631B" w14:textId="3775C4D1" w:rsidR="003B0CA1" w:rsidRPr="00B74B0D" w:rsidRDefault="00973A36">
      <w:pPr>
        <w:bidi w:val="0"/>
        <w:spacing w:line="240" w:lineRule="auto"/>
        <w:rPr>
          <w:rFonts w:ascii="Georgia" w:hAnsi="Georgia" w:cs="Times New Roman"/>
          <w:sz w:val="18"/>
          <w:szCs w:val="18"/>
        </w:rPr>
      </w:pPr>
      <w:r>
        <w:rPr>
          <w:noProof/>
        </w:rPr>
        <w:drawing>
          <wp:anchor distT="0" distB="0" distL="114300" distR="114300" simplePos="0" relativeHeight="251659264" behindDoc="0" locked="0" layoutInCell="1" allowOverlap="1" wp14:anchorId="3C0C5846" wp14:editId="189C0378">
            <wp:simplePos x="0" y="0"/>
            <wp:positionH relativeFrom="page">
              <wp:align>center</wp:align>
            </wp:positionH>
            <wp:positionV relativeFrom="page">
              <wp:align>center</wp:align>
            </wp:positionV>
            <wp:extent cx="7588800" cy="10724400"/>
            <wp:effectExtent l="0" t="0" r="0" b="1270"/>
            <wp:wrapNone/>
            <wp:docPr id="1451121309" name="Picture 1" descr="Israel Journal of &#10;SOCIAL POLICY&#10;Logo&#10;Published by&#10;THE NATIONAL INSURANCE INSTITUTE OF ISRAEL&#10;October 2024&#10;No.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21309" name="Picture 1" descr="Israel Journal of &#10;SOCIAL POLICY&#10;Logo&#10;Published by&#10;THE NATIONAL INSURANCE INSTITUTE OF ISRAEL&#10;October 2024&#10;No. 1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8800" cy="10724400"/>
                    </a:xfrm>
                    <a:prstGeom prst="rect">
                      <a:avLst/>
                    </a:prstGeom>
                  </pic:spPr>
                </pic:pic>
              </a:graphicData>
            </a:graphic>
            <wp14:sizeRelH relativeFrom="margin">
              <wp14:pctWidth>0</wp14:pctWidth>
            </wp14:sizeRelH>
            <wp14:sizeRelV relativeFrom="margin">
              <wp14:pctHeight>0</wp14:pctHeight>
            </wp14:sizeRelV>
          </wp:anchor>
        </w:drawing>
      </w:r>
      <w:r w:rsidR="003B0CA1" w:rsidRPr="00B74B0D">
        <w:rPr>
          <w:rFonts w:ascii="Georgia" w:hAnsi="Georgia" w:cs="Times New Roman"/>
          <w:b/>
          <w:bCs/>
          <w:sz w:val="18"/>
          <w:szCs w:val="18"/>
        </w:rPr>
        <w:br w:type="page"/>
      </w:r>
    </w:p>
    <w:p w14:paraId="71EE3A66" w14:textId="77777777" w:rsidR="00E202C2" w:rsidRPr="00B74B0D"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59986B8" w14:textId="77777777" w:rsidR="005D6490" w:rsidRPr="000F5CAE" w:rsidRDefault="005D6490" w:rsidP="005D6490">
      <w:pPr>
        <w:pStyle w:val="BNAME"/>
        <w:bidi w:val="0"/>
        <w:spacing w:before="5760" w:after="120" w:line="240" w:lineRule="exact"/>
        <w:ind w:right="3600"/>
        <w:jc w:val="both"/>
        <w:rPr>
          <w:rFonts w:ascii="Georgia" w:hAnsi="Georgia" w:cs="Times New Roman"/>
          <w:b w:val="0"/>
          <w:bCs w:val="0"/>
          <w:sz w:val="18"/>
          <w:szCs w:val="18"/>
        </w:rPr>
      </w:pPr>
      <w:r w:rsidRPr="000F5CAE">
        <w:rPr>
          <w:rFonts w:ascii="Georgia" w:hAnsi="Georgia" w:cs="Times New Roman"/>
          <w:b w:val="0"/>
          <w:bCs w:val="0"/>
          <w:sz w:val="18"/>
          <w:szCs w:val="18"/>
        </w:rPr>
        <w:t>EDITORIAL BOARD</w:t>
      </w:r>
    </w:p>
    <w:p w14:paraId="7DD2185B" w14:textId="77777777" w:rsidR="005D6490" w:rsidRPr="000F5CAE" w:rsidRDefault="005D6490" w:rsidP="005D6490">
      <w:pPr>
        <w:pStyle w:val="BNAME"/>
        <w:bidi w:val="0"/>
        <w:spacing w:before="0" w:line="200" w:lineRule="exact"/>
        <w:ind w:right="2550"/>
        <w:jc w:val="both"/>
        <w:rPr>
          <w:rFonts w:ascii="Georgia" w:hAnsi="Georgia" w:cs="Times New Roman"/>
          <w:b w:val="0"/>
          <w:bCs w:val="0"/>
          <w:sz w:val="18"/>
          <w:szCs w:val="18"/>
          <w:rtl/>
          <w:lang w:val="en-GB"/>
        </w:rPr>
      </w:pPr>
    </w:p>
    <w:p w14:paraId="7FFD6140"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 xml:space="preserve">Israel (Issi) Doron, </w:t>
      </w:r>
      <w:r w:rsidRPr="000F5CAE">
        <w:rPr>
          <w:rFonts w:ascii="Georgia" w:hAnsi="Georgia" w:cs="Times New Roman"/>
          <w:b w:val="0"/>
          <w:bCs w:val="0"/>
          <w:i/>
          <w:iCs/>
          <w:sz w:val="18"/>
          <w:szCs w:val="18"/>
        </w:rPr>
        <w:t>Editor in chief</w:t>
      </w:r>
    </w:p>
    <w:p w14:paraId="3688E0BE"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Nitsa (</w:t>
      </w:r>
      <w:proofErr w:type="spellStart"/>
      <w:r w:rsidRPr="000F5CAE">
        <w:rPr>
          <w:rFonts w:ascii="Georgia" w:hAnsi="Georgia" w:cs="Times New Roman"/>
          <w:b w:val="0"/>
          <w:bCs w:val="0"/>
          <w:sz w:val="18"/>
          <w:szCs w:val="18"/>
        </w:rPr>
        <w:t>Kaliner</w:t>
      </w:r>
      <w:proofErr w:type="spellEnd"/>
      <w:r w:rsidRPr="000F5CAE">
        <w:rPr>
          <w:rFonts w:ascii="Georgia" w:hAnsi="Georgia" w:cs="Times New Roman"/>
          <w:b w:val="0"/>
          <w:bCs w:val="0"/>
          <w:sz w:val="18"/>
          <w:szCs w:val="18"/>
        </w:rPr>
        <w:t xml:space="preserve">) Kasir, </w:t>
      </w:r>
      <w:r w:rsidRPr="000F5CAE">
        <w:rPr>
          <w:rFonts w:ascii="Georgia" w:hAnsi="Georgia" w:cs="Times New Roman"/>
          <w:b w:val="0"/>
          <w:bCs w:val="0"/>
          <w:i/>
          <w:iCs/>
          <w:sz w:val="18"/>
          <w:szCs w:val="18"/>
        </w:rPr>
        <w:t>Chairman</w:t>
      </w:r>
    </w:p>
    <w:p w14:paraId="3C22A2AE"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Suliman Abu Bader</w:t>
      </w:r>
    </w:p>
    <w:p w14:paraId="17C7B5E5"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 xml:space="preserve">Leah </w:t>
      </w:r>
      <w:proofErr w:type="spellStart"/>
      <w:r w:rsidRPr="000F5CAE">
        <w:rPr>
          <w:rFonts w:ascii="Georgia" w:hAnsi="Georgia" w:cs="Times New Roman"/>
          <w:b w:val="0"/>
          <w:bCs w:val="0"/>
          <w:sz w:val="18"/>
          <w:szCs w:val="18"/>
          <w:lang w:val="fr-CH"/>
        </w:rPr>
        <w:t>Achdut</w:t>
      </w:r>
      <w:proofErr w:type="spellEnd"/>
    </w:p>
    <w:p w14:paraId="6399CD02"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Jon Anson</w:t>
      </w:r>
    </w:p>
    <w:p w14:paraId="1E5AB61F"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proofErr w:type="spellStart"/>
      <w:r w:rsidRPr="000F5CAE">
        <w:rPr>
          <w:rFonts w:ascii="Georgia" w:hAnsi="Georgia" w:cs="Times New Roman"/>
          <w:b w:val="0"/>
          <w:bCs w:val="0"/>
          <w:sz w:val="18"/>
          <w:szCs w:val="18"/>
          <w:lang w:val="fr-CH"/>
        </w:rPr>
        <w:t>Liat</w:t>
      </w:r>
      <w:proofErr w:type="spellEnd"/>
      <w:r w:rsidRPr="000F5CAE">
        <w:rPr>
          <w:rFonts w:ascii="Georgia" w:hAnsi="Georgia" w:cs="Times New Roman"/>
          <w:b w:val="0"/>
          <w:bCs w:val="0"/>
          <w:sz w:val="18"/>
          <w:szCs w:val="18"/>
          <w:lang w:val="fr-CH"/>
        </w:rPr>
        <w:t xml:space="preserve"> </w:t>
      </w:r>
      <w:proofErr w:type="spellStart"/>
      <w:r w:rsidRPr="000F5CAE">
        <w:rPr>
          <w:rFonts w:ascii="Georgia" w:hAnsi="Georgia" w:cs="Times New Roman"/>
          <w:b w:val="0"/>
          <w:bCs w:val="0"/>
          <w:sz w:val="18"/>
          <w:szCs w:val="18"/>
          <w:lang w:val="fr-CH"/>
        </w:rPr>
        <w:t>Ayalon</w:t>
      </w:r>
      <w:proofErr w:type="spellEnd"/>
    </w:p>
    <w:p w14:paraId="1909886C"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tl/>
        </w:rPr>
      </w:pPr>
      <w:r w:rsidRPr="000F5CAE">
        <w:rPr>
          <w:rFonts w:ascii="Georgia" w:hAnsi="Georgia" w:cs="Times New Roman"/>
          <w:b w:val="0"/>
          <w:bCs w:val="0"/>
          <w:sz w:val="18"/>
          <w:szCs w:val="18"/>
          <w:lang w:val="fr-CH"/>
        </w:rPr>
        <w:t>Orly Benjamin</w:t>
      </w:r>
    </w:p>
    <w:p w14:paraId="1DC363D0"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Nissim Cohen</w:t>
      </w:r>
    </w:p>
    <w:p w14:paraId="6BD8EE76"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FR"/>
        </w:rPr>
      </w:pPr>
      <w:r w:rsidRPr="000F5CAE">
        <w:rPr>
          <w:rFonts w:ascii="Georgia" w:hAnsi="Georgia" w:cs="Times New Roman"/>
          <w:b w:val="0"/>
          <w:bCs w:val="0"/>
          <w:sz w:val="18"/>
          <w:szCs w:val="18"/>
          <w:lang w:val="fr-FR"/>
        </w:rPr>
        <w:t>Sylvie Fogiel-</w:t>
      </w:r>
      <w:proofErr w:type="spellStart"/>
      <w:r w:rsidRPr="000F5CAE">
        <w:rPr>
          <w:rFonts w:ascii="Georgia" w:hAnsi="Georgia" w:cs="Times New Roman"/>
          <w:b w:val="0"/>
          <w:bCs w:val="0"/>
          <w:sz w:val="18"/>
          <w:szCs w:val="18"/>
          <w:lang w:val="fr-FR"/>
        </w:rPr>
        <w:t>Bijaoui</w:t>
      </w:r>
      <w:proofErr w:type="spellEnd"/>
    </w:p>
    <w:p w14:paraId="7C412524"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John Gal</w:t>
      </w:r>
    </w:p>
    <w:p w14:paraId="6A3AD514"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proofErr w:type="spellStart"/>
      <w:r w:rsidRPr="000F5CAE">
        <w:rPr>
          <w:rFonts w:ascii="Georgia" w:hAnsi="Georgia" w:cs="Times New Roman"/>
          <w:b w:val="0"/>
          <w:bCs w:val="0"/>
          <w:sz w:val="18"/>
          <w:szCs w:val="18"/>
        </w:rPr>
        <w:t>Jochanan</w:t>
      </w:r>
      <w:proofErr w:type="spellEnd"/>
      <w:r w:rsidRPr="000F5CAE">
        <w:rPr>
          <w:rFonts w:ascii="Georgia" w:hAnsi="Georgia" w:cs="Times New Roman"/>
          <w:b w:val="0"/>
          <w:bCs w:val="0"/>
          <w:sz w:val="18"/>
          <w:szCs w:val="18"/>
        </w:rPr>
        <w:t xml:space="preserve"> Stessman</w:t>
      </w:r>
    </w:p>
    <w:p w14:paraId="6E0D5BF8"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Aviad Tur-Sinai</w:t>
      </w:r>
    </w:p>
    <w:p w14:paraId="118E3507"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p>
    <w:p w14:paraId="179511CE"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r w:rsidRPr="000F5CAE">
        <w:rPr>
          <w:rFonts w:ascii="Georgia" w:hAnsi="Georgia" w:cs="Times New Roman"/>
          <w:b w:val="0"/>
          <w:bCs w:val="0"/>
          <w:i/>
          <w:iCs/>
          <w:sz w:val="18"/>
          <w:szCs w:val="18"/>
        </w:rPr>
        <w:t>Managing Editor:</w:t>
      </w:r>
      <w:r w:rsidRPr="000F5CAE">
        <w:rPr>
          <w:rFonts w:ascii="Georgia" w:hAnsi="Georgia" w:cs="Times New Roman"/>
          <w:b w:val="0"/>
          <w:bCs w:val="0"/>
          <w:sz w:val="18"/>
          <w:szCs w:val="18"/>
        </w:rPr>
        <w:t xml:space="preserve"> Maya </w:t>
      </w:r>
      <w:proofErr w:type="spellStart"/>
      <w:r w:rsidRPr="000F5CAE">
        <w:rPr>
          <w:rFonts w:ascii="Georgia" w:hAnsi="Georgia" w:cs="Times New Roman"/>
          <w:b w:val="0"/>
          <w:bCs w:val="0"/>
          <w:sz w:val="18"/>
          <w:szCs w:val="18"/>
        </w:rPr>
        <w:t>Orev</w:t>
      </w:r>
      <w:proofErr w:type="spellEnd"/>
      <w:r w:rsidRPr="000F5CAE">
        <w:rPr>
          <w:rFonts w:ascii="Georgia" w:hAnsi="Georgia" w:cs="Times New Roman"/>
          <w:b w:val="0"/>
          <w:bCs w:val="0"/>
          <w:sz w:val="18"/>
          <w:szCs w:val="18"/>
        </w:rPr>
        <w:t>-Attal</w:t>
      </w:r>
    </w:p>
    <w:p w14:paraId="4CD8D185"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r w:rsidRPr="000F5CAE">
        <w:rPr>
          <w:rFonts w:ascii="Georgia" w:hAnsi="Georgia" w:cs="Times New Roman"/>
          <w:b w:val="0"/>
          <w:bCs w:val="0"/>
          <w:i/>
          <w:iCs/>
          <w:sz w:val="18"/>
          <w:szCs w:val="18"/>
        </w:rPr>
        <w:t>Typesetting:</w:t>
      </w:r>
      <w:r w:rsidRPr="000F5CAE">
        <w:rPr>
          <w:rFonts w:ascii="Georgia" w:hAnsi="Georgia" w:cs="Times New Roman"/>
          <w:b w:val="0"/>
          <w:bCs w:val="0"/>
          <w:sz w:val="18"/>
          <w:szCs w:val="18"/>
        </w:rPr>
        <w:t xml:space="preserve"> Onit Computer Services Ltd.</w:t>
      </w:r>
    </w:p>
    <w:p w14:paraId="3885B874" w14:textId="77777777" w:rsidR="001A1A47" w:rsidRPr="00B74B0D" w:rsidRDefault="0089386D" w:rsidP="00A030E0">
      <w:pPr>
        <w:pStyle w:val="KOT4"/>
        <w:bidi w:val="0"/>
        <w:spacing w:before="240" w:after="360"/>
        <w:ind w:right="0"/>
        <w:rPr>
          <w:b w:val="0"/>
          <w:bCs w:val="0"/>
          <w:color w:val="2A8E8C"/>
          <w:sz w:val="30"/>
          <w:szCs w:val="30"/>
        </w:rPr>
      </w:pPr>
      <w:r w:rsidRPr="00B74B0D">
        <w:rPr>
          <w:rFonts w:ascii="Georgia" w:hAnsi="Georgia" w:cs="Times New Roman"/>
          <w:color w:val="2A8E8C"/>
          <w:sz w:val="24"/>
          <w:szCs w:val="24"/>
        </w:rPr>
        <w:br w:type="page"/>
      </w:r>
      <w:r w:rsidRPr="00B74B0D">
        <w:rPr>
          <w:b w:val="0"/>
          <w:bCs w:val="0"/>
          <w:color w:val="2A8E8C"/>
          <w:sz w:val="30"/>
          <w:szCs w:val="30"/>
        </w:rPr>
        <w:lastRenderedPageBreak/>
        <w:t>C</w:t>
      </w:r>
      <w:r w:rsidR="00111442" w:rsidRPr="00B74B0D">
        <w:rPr>
          <w:b w:val="0"/>
          <w:bCs w:val="0"/>
          <w:color w:val="2A8E8C"/>
          <w:sz w:val="30"/>
          <w:szCs w:val="30"/>
        </w:rPr>
        <w:t>ontents</w:t>
      </w:r>
    </w:p>
    <w:p w14:paraId="5A45ED42" w14:textId="7D5B6680" w:rsidR="00083589" w:rsidRPr="00A47A8D" w:rsidRDefault="00083589" w:rsidP="00083589">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083589">
        <w:rPr>
          <w:rFonts w:ascii="Georgia" w:eastAsia="Times New Roman" w:hAnsi="Georgia" w:cs="Times New Roman"/>
          <w:b/>
          <w:bCs/>
          <w:sz w:val="18"/>
          <w:szCs w:val="18"/>
          <w:lang w:eastAsia="he-IL"/>
        </w:rPr>
        <w:t>Expanding the range of bereavement interventions following Israel’s “Black Sabbath” events and the “Iron Swords” war: Toward an ecological perspective – Opinion article</w:t>
      </w:r>
    </w:p>
    <w:p w14:paraId="47ABE859" w14:textId="47D0E91C" w:rsidR="00083589" w:rsidRDefault="00083589" w:rsidP="00083589">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00083589">
        <w:rPr>
          <w:rFonts w:ascii="Georgia" w:eastAsiaTheme="minorEastAsia" w:hAnsi="Georgia" w:cs="David"/>
          <w:sz w:val="18"/>
          <w:szCs w:val="18"/>
        </w:rPr>
        <w:t xml:space="preserve">Orit </w:t>
      </w:r>
      <w:proofErr w:type="spellStart"/>
      <w:r w:rsidRPr="00083589">
        <w:rPr>
          <w:rFonts w:ascii="Georgia" w:eastAsiaTheme="minorEastAsia" w:hAnsi="Georgia" w:cs="David"/>
          <w:sz w:val="18"/>
          <w:szCs w:val="18"/>
        </w:rPr>
        <w:t>Nuttman</w:t>
      </w:r>
      <w:proofErr w:type="spellEnd"/>
      <w:r w:rsidRPr="00083589">
        <w:rPr>
          <w:rFonts w:ascii="Georgia" w:eastAsiaTheme="minorEastAsia" w:hAnsi="Georgia" w:cs="David"/>
          <w:sz w:val="18"/>
          <w:szCs w:val="18"/>
        </w:rPr>
        <w:t>-Shwartz</w:t>
      </w:r>
      <w:r w:rsidR="00B42E7B">
        <w:rPr>
          <w:rFonts w:ascii="Georgia" w:eastAsiaTheme="minorEastAsia" w:hAnsi="Georgia" w:cs="David"/>
          <w:sz w:val="18"/>
          <w:szCs w:val="18"/>
        </w:rPr>
        <w:t xml:space="preserve"> </w:t>
      </w:r>
      <w:r w:rsidRPr="00083589">
        <w:rPr>
          <w:rFonts w:ascii="Georgia" w:eastAsiaTheme="minorEastAsia" w:hAnsi="Georgia" w:cs="David"/>
          <w:sz w:val="18"/>
          <w:szCs w:val="18"/>
        </w:rPr>
        <w:t>and Rachel Dekel</w:t>
      </w:r>
      <w:r w:rsidR="00B42E7B">
        <w:rPr>
          <w:rFonts w:ascii="Georgia" w:eastAsiaTheme="minorEastAsia" w:hAnsi="Georgia" w:cs="David"/>
          <w:sz w:val="18"/>
          <w:szCs w:val="18"/>
        </w:rPr>
        <w:t xml:space="preserve"> </w:t>
      </w:r>
    </w:p>
    <w:p w14:paraId="28FD8356" w14:textId="38335CE0" w:rsidR="00083589" w:rsidRPr="00A47A8D" w:rsidRDefault="00083589" w:rsidP="00083589">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083589">
        <w:rPr>
          <w:rFonts w:ascii="Georgia" w:eastAsia="Times New Roman" w:hAnsi="Georgia" w:cs="Times New Roman"/>
          <w:b/>
          <w:bCs/>
          <w:sz w:val="18"/>
          <w:szCs w:val="18"/>
          <w:lang w:eastAsia="he-IL"/>
        </w:rPr>
        <w:t xml:space="preserve">Negotiating from the margins: Social work with people in poverty in </w:t>
      </w:r>
      <w:proofErr w:type="gramStart"/>
      <w:r w:rsidRPr="00083589">
        <w:rPr>
          <w:rFonts w:ascii="Georgia" w:eastAsia="Times New Roman" w:hAnsi="Georgia" w:cs="Times New Roman"/>
          <w:b/>
          <w:bCs/>
          <w:sz w:val="18"/>
          <w:szCs w:val="18"/>
          <w:lang w:eastAsia="he-IL"/>
        </w:rPr>
        <w:t>Arab-Palestinian</w:t>
      </w:r>
      <w:proofErr w:type="gramEnd"/>
      <w:r w:rsidRPr="00083589">
        <w:rPr>
          <w:rFonts w:ascii="Georgia" w:eastAsia="Times New Roman" w:hAnsi="Georgia" w:cs="Times New Roman"/>
          <w:b/>
          <w:bCs/>
          <w:sz w:val="18"/>
          <w:szCs w:val="18"/>
          <w:lang w:eastAsia="he-IL"/>
        </w:rPr>
        <w:t xml:space="preserve"> society in Israel</w:t>
      </w:r>
    </w:p>
    <w:p w14:paraId="20A44E64" w14:textId="03AD2175" w:rsidR="00083589" w:rsidRDefault="00083589" w:rsidP="00083589">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proofErr w:type="spellStart"/>
      <w:r w:rsidRPr="00083589">
        <w:rPr>
          <w:rFonts w:ascii="Georgia" w:eastAsiaTheme="minorEastAsia" w:hAnsi="Georgia" w:cs="David"/>
          <w:sz w:val="18"/>
          <w:szCs w:val="18"/>
        </w:rPr>
        <w:t>Ensherah</w:t>
      </w:r>
      <w:proofErr w:type="spellEnd"/>
      <w:r w:rsidRPr="00083589">
        <w:rPr>
          <w:rFonts w:ascii="Georgia" w:eastAsiaTheme="minorEastAsia" w:hAnsi="Georgia" w:cs="David"/>
          <w:sz w:val="18"/>
          <w:szCs w:val="18"/>
        </w:rPr>
        <w:t xml:space="preserve"> </w:t>
      </w:r>
      <w:proofErr w:type="gramStart"/>
      <w:r w:rsidRPr="00083589">
        <w:rPr>
          <w:rFonts w:ascii="Georgia" w:eastAsiaTheme="minorEastAsia" w:hAnsi="Georgia" w:cs="David"/>
          <w:sz w:val="18"/>
          <w:szCs w:val="18"/>
        </w:rPr>
        <w:t>Khoury ,</w:t>
      </w:r>
      <w:proofErr w:type="gramEnd"/>
      <w:r w:rsidRPr="00083589">
        <w:rPr>
          <w:rFonts w:ascii="Georgia" w:eastAsiaTheme="minorEastAsia" w:hAnsi="Georgia" w:cs="David"/>
          <w:sz w:val="18"/>
          <w:szCs w:val="18"/>
        </w:rPr>
        <w:t xml:space="preserve"> Michal </w:t>
      </w:r>
      <w:proofErr w:type="spellStart"/>
      <w:r w:rsidRPr="00083589">
        <w:rPr>
          <w:rFonts w:ascii="Georgia" w:eastAsiaTheme="minorEastAsia" w:hAnsi="Georgia" w:cs="David"/>
          <w:sz w:val="18"/>
          <w:szCs w:val="18"/>
        </w:rPr>
        <w:t>Krumer</w:t>
      </w:r>
      <w:proofErr w:type="spellEnd"/>
      <w:r w:rsidRPr="00083589">
        <w:rPr>
          <w:rFonts w:ascii="Georgia" w:eastAsiaTheme="minorEastAsia" w:hAnsi="Georgia" w:cs="David"/>
          <w:sz w:val="18"/>
          <w:szCs w:val="18"/>
        </w:rPr>
        <w:t>-Nevo and Limor Lotan</w:t>
      </w:r>
    </w:p>
    <w:p w14:paraId="5A600521" w14:textId="27C5C0C4" w:rsidR="00083589" w:rsidRPr="00A47A8D" w:rsidRDefault="00083589" w:rsidP="00083589">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083589">
        <w:rPr>
          <w:rFonts w:ascii="Georgia" w:eastAsia="Times New Roman" w:hAnsi="Georgia" w:cs="Times New Roman"/>
          <w:b/>
          <w:bCs/>
          <w:sz w:val="18"/>
          <w:szCs w:val="18"/>
          <w:lang w:eastAsia="he-IL"/>
        </w:rPr>
        <w:t xml:space="preserve">The one who sees without </w:t>
      </w:r>
      <w:r w:rsidR="00BF4E15" w:rsidRPr="00BF4E15">
        <w:rPr>
          <w:rFonts w:ascii="Georgia" w:eastAsia="Times New Roman" w:hAnsi="Georgia" w:cs="Times New Roman"/>
          <w:b/>
          <w:bCs/>
          <w:sz w:val="18"/>
          <w:szCs w:val="18"/>
          <w:lang w:eastAsia="he-IL"/>
        </w:rPr>
        <w:t xml:space="preserve">being </w:t>
      </w:r>
      <w:r w:rsidRPr="00083589">
        <w:rPr>
          <w:rFonts w:ascii="Georgia" w:eastAsia="Times New Roman" w:hAnsi="Georgia" w:cs="Times New Roman"/>
          <w:b/>
          <w:bCs/>
          <w:sz w:val="18"/>
          <w:szCs w:val="18"/>
          <w:lang w:eastAsia="he-IL"/>
        </w:rPr>
        <w:t xml:space="preserve">seen: </w:t>
      </w:r>
      <w:r w:rsidR="00BF4E15">
        <w:rPr>
          <w:rFonts w:ascii="Georgia" w:eastAsia="Times New Roman" w:hAnsi="Georgia" w:cs="Times New Roman"/>
          <w:b/>
          <w:bCs/>
          <w:sz w:val="18"/>
          <w:szCs w:val="18"/>
          <w:lang w:eastAsia="he-IL"/>
        </w:rPr>
        <w:t>T</w:t>
      </w:r>
      <w:r w:rsidRPr="00083589">
        <w:rPr>
          <w:rFonts w:ascii="Georgia" w:eastAsia="Times New Roman" w:hAnsi="Georgia" w:cs="Times New Roman"/>
          <w:b/>
          <w:bCs/>
          <w:sz w:val="18"/>
          <w:szCs w:val="18"/>
          <w:lang w:eastAsia="he-IL"/>
        </w:rPr>
        <w:t>he manpower crisis from the standpoint of staff members in community psychiatric rehabilitation</w:t>
      </w:r>
    </w:p>
    <w:p w14:paraId="30B1A2AC" w14:textId="7C1EF48C" w:rsidR="00083589" w:rsidRDefault="00083589" w:rsidP="00083589">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00083589">
        <w:rPr>
          <w:rFonts w:ascii="Georgia" w:eastAsiaTheme="minorEastAsia" w:hAnsi="Georgia" w:cs="David"/>
          <w:sz w:val="18"/>
          <w:szCs w:val="18"/>
        </w:rPr>
        <w:t xml:space="preserve">Taisia </w:t>
      </w:r>
      <w:proofErr w:type="gramStart"/>
      <w:r w:rsidRPr="00083589">
        <w:rPr>
          <w:rFonts w:ascii="Georgia" w:eastAsiaTheme="minorEastAsia" w:hAnsi="Georgia" w:cs="David"/>
          <w:sz w:val="18"/>
          <w:szCs w:val="18"/>
        </w:rPr>
        <w:t>Leikin ,</w:t>
      </w:r>
      <w:proofErr w:type="gramEnd"/>
      <w:r w:rsidRPr="00083589">
        <w:rPr>
          <w:rFonts w:ascii="Georgia" w:eastAsiaTheme="minorEastAsia" w:hAnsi="Georgia" w:cs="David"/>
          <w:sz w:val="18"/>
          <w:szCs w:val="18"/>
        </w:rPr>
        <w:t xml:space="preserve"> Max Lachman</w:t>
      </w:r>
      <w:r w:rsidR="00B42E7B">
        <w:rPr>
          <w:rFonts w:ascii="Georgia" w:eastAsiaTheme="minorEastAsia" w:hAnsi="Georgia" w:cs="David"/>
          <w:sz w:val="18"/>
          <w:szCs w:val="18"/>
        </w:rPr>
        <w:t xml:space="preserve"> </w:t>
      </w:r>
      <w:r w:rsidRPr="00083589">
        <w:rPr>
          <w:rFonts w:ascii="Georgia" w:eastAsiaTheme="minorEastAsia" w:hAnsi="Georgia" w:cs="David"/>
          <w:sz w:val="18"/>
          <w:szCs w:val="18"/>
        </w:rPr>
        <w:t>and Ayala Friedlander</w:t>
      </w:r>
    </w:p>
    <w:p w14:paraId="29BA789A" w14:textId="49F1DB3D" w:rsidR="00083589" w:rsidRPr="00A47A8D" w:rsidRDefault="00083589" w:rsidP="00083589">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083589">
        <w:rPr>
          <w:rFonts w:ascii="Georgia" w:eastAsia="Times New Roman" w:hAnsi="Georgia" w:cs="Times New Roman"/>
          <w:b/>
          <w:bCs/>
          <w:sz w:val="18"/>
          <w:szCs w:val="18"/>
          <w:lang w:eastAsia="he-IL"/>
        </w:rPr>
        <w:t xml:space="preserve">“Pension avoidance”: Factors leading to the lack of pension-related information among the Israeli population in </w:t>
      </w:r>
      <w:proofErr w:type="gramStart"/>
      <w:r w:rsidRPr="00083589">
        <w:rPr>
          <w:rFonts w:ascii="Georgia" w:eastAsia="Times New Roman" w:hAnsi="Georgia" w:cs="Times New Roman"/>
          <w:b/>
          <w:bCs/>
          <w:sz w:val="18"/>
          <w:szCs w:val="18"/>
          <w:lang w:eastAsia="he-IL"/>
        </w:rPr>
        <w:t>all of</w:t>
      </w:r>
      <w:proofErr w:type="gramEnd"/>
      <w:r w:rsidRPr="00083589">
        <w:rPr>
          <w:rFonts w:ascii="Georgia" w:eastAsia="Times New Roman" w:hAnsi="Georgia" w:cs="Times New Roman"/>
          <w:b/>
          <w:bCs/>
          <w:sz w:val="18"/>
          <w:szCs w:val="18"/>
          <w:lang w:eastAsia="he-IL"/>
        </w:rPr>
        <w:t xml:space="preserve"> its diversity</w:t>
      </w:r>
    </w:p>
    <w:p w14:paraId="71B176CC" w14:textId="3C449840" w:rsidR="00083589" w:rsidRDefault="00083589" w:rsidP="00083589">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00083589">
        <w:rPr>
          <w:rFonts w:ascii="Georgia" w:eastAsiaTheme="minorEastAsia" w:hAnsi="Georgia" w:cs="David"/>
          <w:sz w:val="18"/>
          <w:szCs w:val="18"/>
        </w:rPr>
        <w:t xml:space="preserve">Guy </w:t>
      </w:r>
      <w:proofErr w:type="gramStart"/>
      <w:r w:rsidRPr="00083589">
        <w:rPr>
          <w:rFonts w:ascii="Georgia" w:eastAsiaTheme="minorEastAsia" w:hAnsi="Georgia" w:cs="David"/>
          <w:sz w:val="18"/>
          <w:szCs w:val="18"/>
        </w:rPr>
        <w:t>Hochman ,</w:t>
      </w:r>
      <w:proofErr w:type="gramEnd"/>
      <w:r w:rsidRPr="00083589">
        <w:rPr>
          <w:rFonts w:ascii="Georgia" w:eastAsiaTheme="minorEastAsia" w:hAnsi="Georgia" w:cs="David"/>
          <w:sz w:val="18"/>
          <w:szCs w:val="18"/>
        </w:rPr>
        <w:t xml:space="preserve"> Rami Yosef , </w:t>
      </w:r>
      <w:proofErr w:type="spellStart"/>
      <w:r w:rsidRPr="00083589">
        <w:rPr>
          <w:rFonts w:ascii="Georgia" w:eastAsiaTheme="minorEastAsia" w:hAnsi="Georgia" w:cs="David"/>
          <w:sz w:val="18"/>
          <w:szCs w:val="18"/>
        </w:rPr>
        <w:t>Shenhavm</w:t>
      </w:r>
      <w:proofErr w:type="spellEnd"/>
      <w:r w:rsidRPr="00083589">
        <w:rPr>
          <w:rFonts w:ascii="Georgia" w:eastAsiaTheme="minorEastAsia" w:hAnsi="Georgia" w:cs="David"/>
          <w:sz w:val="18"/>
          <w:szCs w:val="18"/>
        </w:rPr>
        <w:t xml:space="preserve"> Malul</w:t>
      </w:r>
      <w:r w:rsidR="00B42E7B">
        <w:rPr>
          <w:rFonts w:ascii="Georgia" w:eastAsiaTheme="minorEastAsia" w:hAnsi="Georgia" w:cs="David"/>
          <w:sz w:val="18"/>
          <w:szCs w:val="18"/>
        </w:rPr>
        <w:t xml:space="preserve"> </w:t>
      </w:r>
      <w:r w:rsidRPr="00083589">
        <w:rPr>
          <w:rFonts w:ascii="Georgia" w:eastAsiaTheme="minorEastAsia" w:hAnsi="Georgia" w:cs="David"/>
          <w:sz w:val="18"/>
          <w:szCs w:val="18"/>
        </w:rPr>
        <w:t xml:space="preserve">and Tehila </w:t>
      </w:r>
      <w:proofErr w:type="spellStart"/>
      <w:r w:rsidRPr="00083589">
        <w:rPr>
          <w:rFonts w:ascii="Georgia" w:eastAsiaTheme="minorEastAsia" w:hAnsi="Georgia" w:cs="David"/>
          <w:sz w:val="18"/>
          <w:szCs w:val="18"/>
        </w:rPr>
        <w:t>Kalagy</w:t>
      </w:r>
      <w:proofErr w:type="spellEnd"/>
      <w:r w:rsidR="00B42E7B">
        <w:rPr>
          <w:rFonts w:ascii="Georgia" w:eastAsiaTheme="minorEastAsia" w:hAnsi="Georgia" w:cs="David"/>
          <w:sz w:val="18"/>
          <w:szCs w:val="18"/>
        </w:rPr>
        <w:t xml:space="preserve"> </w:t>
      </w:r>
    </w:p>
    <w:p w14:paraId="40275B8F" w14:textId="79C4E3E1" w:rsidR="00083589" w:rsidRPr="00A47A8D" w:rsidRDefault="00083589" w:rsidP="00083589">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0083589">
        <w:rPr>
          <w:rFonts w:ascii="Georgia" w:eastAsia="Times New Roman" w:hAnsi="Georgia" w:cs="Times New Roman"/>
          <w:b/>
          <w:bCs/>
          <w:sz w:val="18"/>
          <w:szCs w:val="18"/>
          <w:lang w:eastAsia="he-IL"/>
        </w:rPr>
        <w:t>Grandmothers, mothers and infant morbidity: First births among the Arab population in Israel</w:t>
      </w:r>
    </w:p>
    <w:p w14:paraId="40F042B5" w14:textId="251668C5" w:rsidR="00083589" w:rsidRDefault="00B42E7B" w:rsidP="00083589">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00B42E7B">
        <w:rPr>
          <w:rFonts w:ascii="Georgia" w:eastAsiaTheme="minorEastAsia" w:hAnsi="Georgia" w:cs="David"/>
          <w:sz w:val="18"/>
          <w:szCs w:val="18"/>
        </w:rPr>
        <w:t xml:space="preserve">Nuha </w:t>
      </w:r>
      <w:proofErr w:type="gramStart"/>
      <w:r w:rsidRPr="00B42E7B">
        <w:rPr>
          <w:rFonts w:ascii="Georgia" w:eastAsiaTheme="minorEastAsia" w:hAnsi="Georgia" w:cs="David"/>
          <w:sz w:val="18"/>
          <w:szCs w:val="18"/>
        </w:rPr>
        <w:t>Sliman ,</w:t>
      </w:r>
      <w:proofErr w:type="gramEnd"/>
      <w:r w:rsidRPr="00B42E7B">
        <w:rPr>
          <w:rFonts w:ascii="Georgia" w:eastAsiaTheme="minorEastAsia" w:hAnsi="Georgia" w:cs="David"/>
          <w:sz w:val="18"/>
          <w:szCs w:val="18"/>
        </w:rPr>
        <w:t xml:space="preserve"> Jon Anson , Julie </w:t>
      </w:r>
      <w:proofErr w:type="spellStart"/>
      <w:r w:rsidRPr="00B42E7B">
        <w:rPr>
          <w:rFonts w:ascii="Georgia" w:eastAsiaTheme="minorEastAsia" w:hAnsi="Georgia" w:cs="David"/>
          <w:sz w:val="18"/>
          <w:szCs w:val="18"/>
        </w:rPr>
        <w:t>Cwikel</w:t>
      </w:r>
      <w:proofErr w:type="spellEnd"/>
      <w:r>
        <w:rPr>
          <w:rFonts w:ascii="Georgia" w:eastAsiaTheme="minorEastAsia" w:hAnsi="Georgia" w:cs="David"/>
          <w:sz w:val="18"/>
          <w:szCs w:val="18"/>
        </w:rPr>
        <w:t xml:space="preserve"> </w:t>
      </w:r>
      <w:r w:rsidRPr="00B42E7B">
        <w:rPr>
          <w:rFonts w:ascii="Georgia" w:eastAsiaTheme="minorEastAsia" w:hAnsi="Georgia" w:cs="David"/>
          <w:sz w:val="18"/>
          <w:szCs w:val="18"/>
        </w:rPr>
        <w:t>and Ofra Anson</w:t>
      </w:r>
    </w:p>
    <w:p w14:paraId="548A8CD9" w14:textId="77777777" w:rsidR="00083589" w:rsidRPr="00B74B0D" w:rsidRDefault="00083589" w:rsidP="00083589">
      <w:pPr>
        <w:tabs>
          <w:tab w:val="right" w:leader="dot" w:pos="6124"/>
          <w:tab w:val="left" w:pos="6237"/>
        </w:tabs>
        <w:bidi w:val="0"/>
        <w:spacing w:after="240"/>
        <w:rPr>
          <w:rFonts w:ascii="Georgia" w:eastAsiaTheme="minorHAnsi" w:hAnsi="Georgia"/>
        </w:rPr>
      </w:pPr>
    </w:p>
    <w:p w14:paraId="61AC8CC9" w14:textId="77777777" w:rsidR="000667B0" w:rsidRPr="00B74B0D" w:rsidRDefault="000667B0" w:rsidP="000667B0">
      <w:pPr>
        <w:tabs>
          <w:tab w:val="right" w:leader="dot" w:pos="6124"/>
          <w:tab w:val="left" w:pos="6237"/>
        </w:tabs>
        <w:bidi w:val="0"/>
        <w:spacing w:after="240"/>
        <w:rPr>
          <w:rFonts w:ascii="Georgia" w:eastAsiaTheme="minorHAnsi" w:hAnsi="Georgia"/>
        </w:rPr>
        <w:sectPr w:rsidR="000667B0" w:rsidRPr="00B74B0D" w:rsidSect="00073600">
          <w:pgSz w:w="11906" w:h="16838" w:code="9"/>
          <w:pgMar w:top="3402" w:right="2608" w:bottom="2722" w:left="2608" w:header="2552" w:footer="2438" w:gutter="0"/>
          <w:pgNumType w:fmt="lowerRoman"/>
          <w:cols w:space="708"/>
          <w:docGrid w:linePitch="360"/>
        </w:sectPr>
      </w:pPr>
    </w:p>
    <w:p w14:paraId="41F21F3E" w14:textId="00A554A2" w:rsidR="000667B0" w:rsidRPr="00B74B0D" w:rsidRDefault="000667B0" w:rsidP="000667B0">
      <w:pPr>
        <w:tabs>
          <w:tab w:val="right" w:leader="dot" w:pos="6124"/>
          <w:tab w:val="left" w:pos="6237"/>
        </w:tabs>
        <w:bidi w:val="0"/>
        <w:spacing w:after="240"/>
        <w:rPr>
          <w:rFonts w:ascii="Georgia" w:eastAsiaTheme="minorHAnsi" w:hAnsi="Georgia"/>
          <w:rtl/>
        </w:rPr>
      </w:pPr>
    </w:p>
    <w:p w14:paraId="1045F6CC" w14:textId="77777777" w:rsidR="0089386D" w:rsidRPr="00B74B0D" w:rsidRDefault="0089386D" w:rsidP="000D35C8">
      <w:pPr>
        <w:pStyle w:val="NoSpacing"/>
        <w:bidi w:val="0"/>
        <w:spacing w:after="120" w:line="280" w:lineRule="exact"/>
        <w:rPr>
          <w:rFonts w:ascii="Georgia" w:eastAsia="Times New Roman" w:hAnsi="Georgia" w:cs="David"/>
        </w:rPr>
      </w:pPr>
      <w:r w:rsidRPr="00B74B0D">
        <w:rPr>
          <w:rFonts w:ascii="Georgia" w:eastAsia="Times New Roman" w:hAnsi="Georgia" w:cs="David"/>
        </w:rPr>
        <w:br w:type="page"/>
      </w:r>
    </w:p>
    <w:p w14:paraId="6719AB3A" w14:textId="77777777" w:rsidR="0089386D" w:rsidRPr="00B74B0D" w:rsidRDefault="0089386D" w:rsidP="00165447">
      <w:pPr>
        <w:pStyle w:val="NoSpacing"/>
        <w:bidi w:val="0"/>
        <w:spacing w:after="2280" w:line="280" w:lineRule="exact"/>
        <w:rPr>
          <w:rFonts w:ascii="Georgia" w:eastAsia="Times New Roman" w:hAnsi="Georgia" w:cs="David"/>
        </w:rPr>
      </w:pPr>
    </w:p>
    <w:p w14:paraId="5ECAB5F9" w14:textId="77777777" w:rsidR="0089386D" w:rsidRPr="00B74B0D" w:rsidRDefault="0089386D" w:rsidP="001629F1">
      <w:pPr>
        <w:pStyle w:val="KOT4"/>
        <w:bidi w:val="0"/>
        <w:spacing w:after="240"/>
        <w:ind w:right="0"/>
        <w:jc w:val="center"/>
        <w:rPr>
          <w:b w:val="0"/>
          <w:bCs w:val="0"/>
          <w:color w:val="auto"/>
          <w:sz w:val="30"/>
          <w:szCs w:val="30"/>
        </w:rPr>
      </w:pPr>
      <w:r w:rsidRPr="00B74B0D">
        <w:rPr>
          <w:b w:val="0"/>
          <w:bCs w:val="0"/>
          <w:color w:val="auto"/>
          <w:sz w:val="30"/>
          <w:szCs w:val="30"/>
        </w:rPr>
        <w:t xml:space="preserve">Summaries of the </w:t>
      </w:r>
      <w:r w:rsidR="00E66CAC" w:rsidRPr="00B74B0D">
        <w:rPr>
          <w:b w:val="0"/>
          <w:bCs w:val="0"/>
          <w:color w:val="auto"/>
          <w:sz w:val="30"/>
          <w:szCs w:val="30"/>
        </w:rPr>
        <w:t>m</w:t>
      </w:r>
      <w:r w:rsidRPr="00B74B0D">
        <w:rPr>
          <w:b w:val="0"/>
          <w:bCs w:val="0"/>
          <w:color w:val="auto"/>
          <w:sz w:val="30"/>
          <w:szCs w:val="30"/>
        </w:rPr>
        <w:t xml:space="preserve">ain </w:t>
      </w:r>
      <w:r w:rsidR="00E66CAC" w:rsidRPr="00B74B0D">
        <w:rPr>
          <w:b w:val="0"/>
          <w:bCs w:val="0"/>
          <w:color w:val="auto"/>
          <w:sz w:val="30"/>
          <w:szCs w:val="30"/>
        </w:rPr>
        <w:t>a</w:t>
      </w:r>
      <w:r w:rsidRPr="00B74B0D">
        <w:rPr>
          <w:b w:val="0"/>
          <w:bCs w:val="0"/>
          <w:color w:val="auto"/>
          <w:sz w:val="30"/>
          <w:szCs w:val="30"/>
        </w:rPr>
        <w:t>rticles</w:t>
      </w:r>
    </w:p>
    <w:p w14:paraId="21B3EC7F" w14:textId="77777777" w:rsidR="00757626" w:rsidRPr="00B74B0D"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B74B0D">
        <w:rPr>
          <w:rFonts w:ascii="Georgia" w:hAnsi="Georgia"/>
          <w:b/>
          <w:bCs/>
          <w:sz w:val="32"/>
          <w:szCs w:val="32"/>
        </w:rPr>
        <w:br w:type="page"/>
      </w:r>
    </w:p>
    <w:p w14:paraId="0E849237" w14:textId="77777777" w:rsidR="00316CC0" w:rsidRPr="00B74B0D"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Pr="00B74B0D" w:rsidRDefault="0089386D" w:rsidP="0089386D">
      <w:pPr>
        <w:pStyle w:val="KOT4"/>
        <w:bidi w:val="0"/>
        <w:spacing w:line="440" w:lineRule="atLeast"/>
        <w:ind w:right="0"/>
        <w:jc w:val="center"/>
        <w:rPr>
          <w:sz w:val="32"/>
          <w:szCs w:val="32"/>
        </w:rPr>
        <w:sectPr w:rsidR="0089386D" w:rsidRPr="00B74B0D" w:rsidSect="00073600">
          <w:headerReference w:type="even" r:id="rId9"/>
          <w:headerReference w:type="default" r:id="rId10"/>
          <w:pgSz w:w="11906" w:h="16838" w:code="9"/>
          <w:pgMar w:top="3402" w:right="2608" w:bottom="2722" w:left="2608" w:header="2552" w:footer="2438" w:gutter="0"/>
          <w:pgNumType w:fmt="lowerRoman"/>
          <w:cols w:space="708"/>
          <w:docGrid w:linePitch="360"/>
        </w:sectPr>
      </w:pPr>
    </w:p>
    <w:p w14:paraId="758AB321" w14:textId="77777777" w:rsidR="00E76B38" w:rsidRPr="00E76B38" w:rsidRDefault="00E76B38" w:rsidP="00E76B38">
      <w:pPr>
        <w:pStyle w:val="KOT4"/>
        <w:keepLines/>
        <w:bidi w:val="0"/>
        <w:spacing w:line="240" w:lineRule="auto"/>
        <w:ind w:right="0"/>
        <w:rPr>
          <w:b w:val="0"/>
          <w:bCs w:val="0"/>
          <w:color w:val="2A8E8C"/>
          <w:sz w:val="28"/>
          <w:szCs w:val="28"/>
        </w:rPr>
      </w:pPr>
      <w:r w:rsidRPr="00E76B38">
        <w:rPr>
          <w:b w:val="0"/>
          <w:bCs w:val="0"/>
          <w:color w:val="2A8E8C"/>
          <w:sz w:val="28"/>
          <w:szCs w:val="28"/>
        </w:rPr>
        <w:lastRenderedPageBreak/>
        <w:t xml:space="preserve">Expanding the range of bereavement interventions following Israel’s “Black Sabbath” events and the “Iron Swords” war: Toward an ecological perspective – Opinion article </w:t>
      </w:r>
    </w:p>
    <w:p w14:paraId="6506EC60" w14:textId="2DA3EAD5" w:rsidR="00E76B38" w:rsidRPr="00E76B38" w:rsidRDefault="00E76B38" w:rsidP="00E76B38">
      <w:pPr>
        <w:bidi w:val="0"/>
        <w:spacing w:after="120" w:line="280" w:lineRule="exact"/>
        <w:jc w:val="both"/>
        <w:rPr>
          <w:rFonts w:ascii="Georgia" w:eastAsia="Georgia" w:hAnsi="Georgia" w:cs="Georgia"/>
          <w:i/>
          <w:iCs/>
          <w:sz w:val="20"/>
          <w:szCs w:val="20"/>
          <w:rtl/>
        </w:rPr>
      </w:pPr>
      <w:r w:rsidRPr="00E76B38">
        <w:rPr>
          <w:rFonts w:ascii="Georgia" w:eastAsia="Georgia" w:hAnsi="Georgia" w:cs="Georgia"/>
          <w:i/>
          <w:iCs/>
          <w:sz w:val="20"/>
          <w:szCs w:val="20"/>
        </w:rPr>
        <w:t xml:space="preserve">Orit </w:t>
      </w:r>
      <w:proofErr w:type="spellStart"/>
      <w:r w:rsidRPr="00E76B38">
        <w:rPr>
          <w:rFonts w:ascii="Georgia" w:eastAsia="Georgia" w:hAnsi="Georgia" w:cs="Georgia"/>
          <w:i/>
          <w:iCs/>
          <w:sz w:val="20"/>
          <w:szCs w:val="20"/>
        </w:rPr>
        <w:t>Nuttman</w:t>
      </w:r>
      <w:proofErr w:type="spellEnd"/>
      <w:r w:rsidRPr="00E76B38">
        <w:rPr>
          <w:rFonts w:ascii="Georgia" w:eastAsia="Georgia" w:hAnsi="Georgia" w:cs="Georgia"/>
          <w:i/>
          <w:iCs/>
          <w:sz w:val="20"/>
          <w:szCs w:val="20"/>
        </w:rPr>
        <w:t>-Shwartz</w:t>
      </w:r>
      <w:r w:rsidR="00083589" w:rsidRPr="00083589">
        <w:rPr>
          <w:rFonts w:ascii="Georgia" w:eastAsia="Georgia" w:hAnsi="Georgia" w:cs="Georgia"/>
          <w:sz w:val="20"/>
          <w:szCs w:val="20"/>
          <w:vertAlign w:val="superscript"/>
        </w:rPr>
        <w:footnoteReference w:id="2"/>
      </w:r>
      <w:r w:rsidR="00083589" w:rsidRPr="00083589">
        <w:rPr>
          <w:rFonts w:ascii="Georgia" w:eastAsia="Georgia" w:hAnsi="Georgia" w:cs="Georgia"/>
          <w:i/>
          <w:iCs/>
          <w:sz w:val="20"/>
          <w:szCs w:val="20"/>
          <w:vertAlign w:val="superscript"/>
        </w:rPr>
        <w:t xml:space="preserve"> </w:t>
      </w:r>
      <w:r w:rsidR="00083589" w:rsidRPr="00083589">
        <w:rPr>
          <w:rFonts w:ascii="Georgia" w:eastAsia="Georgia" w:hAnsi="Georgia" w:cs="Georgia"/>
          <w:iCs/>
          <w:sz w:val="20"/>
          <w:szCs w:val="20"/>
        </w:rPr>
        <w:t>and</w:t>
      </w:r>
      <w:r w:rsidRPr="00E76B38">
        <w:rPr>
          <w:rFonts w:ascii="Georgia" w:eastAsia="Georgia" w:hAnsi="Georgia" w:cs="Georgia"/>
          <w:i/>
          <w:iCs/>
          <w:sz w:val="20"/>
          <w:szCs w:val="20"/>
        </w:rPr>
        <w:t xml:space="preserve"> Rachel Dekel</w:t>
      </w:r>
      <w:r w:rsidR="00083589" w:rsidRPr="00083589">
        <w:rPr>
          <w:rFonts w:ascii="Georgia" w:eastAsia="Georgia" w:hAnsi="Georgia" w:cs="Georgia"/>
          <w:sz w:val="20"/>
          <w:szCs w:val="20"/>
          <w:vertAlign w:val="superscript"/>
        </w:rPr>
        <w:footnoteReference w:id="3"/>
      </w:r>
      <w:r w:rsidR="00083589" w:rsidRPr="00083589">
        <w:rPr>
          <w:rFonts w:ascii="Georgia" w:eastAsia="Georgia" w:hAnsi="Georgia" w:cs="Georgia"/>
          <w:i/>
          <w:iCs/>
          <w:sz w:val="20"/>
          <w:szCs w:val="20"/>
          <w:vertAlign w:val="superscript"/>
        </w:rPr>
        <w:t xml:space="preserve"> </w:t>
      </w:r>
    </w:p>
    <w:p w14:paraId="1554F8B9" w14:textId="77777777" w:rsidR="00083589" w:rsidRPr="00AB3AA5" w:rsidRDefault="00083589" w:rsidP="00083589">
      <w:pPr>
        <w:bidi w:val="0"/>
        <w:jc w:val="both"/>
        <w:rPr>
          <w:rFonts w:ascii="Tahoma" w:hAnsi="Tahoma" w:cs="Tahoma"/>
        </w:rPr>
      </w:pPr>
    </w:p>
    <w:p w14:paraId="55A71496" w14:textId="77777777" w:rsidR="00E76B38" w:rsidRP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 xml:space="preserve">In this opinion article we review Israel’s intervention policy and variety of services provided to bereaved families and advocate for their expansion, especially </w:t>
      </w:r>
      <w:proofErr w:type="gramStart"/>
      <w:r w:rsidRPr="00E76B38">
        <w:rPr>
          <w:rFonts w:ascii="Georgia" w:hAnsi="Georgia" w:cstheme="majorBidi"/>
          <w:sz w:val="20"/>
          <w:szCs w:val="20"/>
        </w:rPr>
        <w:t>in light of</w:t>
      </w:r>
      <w:proofErr w:type="gramEnd"/>
      <w:r w:rsidRPr="00E76B38">
        <w:rPr>
          <w:rFonts w:ascii="Georgia" w:hAnsi="Georgia" w:cstheme="majorBidi"/>
          <w:sz w:val="20"/>
          <w:szCs w:val="20"/>
        </w:rPr>
        <w:t xml:space="preserve"> the October 7th (“Black Sabbath”) events and the consequent “Iron Swords” war.</w:t>
      </w:r>
    </w:p>
    <w:p w14:paraId="05CDA60C" w14:textId="77777777" w:rsidR="00E76B38" w:rsidRP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A review of the theoretical literature and the existing laws for the treatment of bereaved families reveals that the common conception for understanding loss and caring for the bereaved is an individualized one and rests on the premise that each individual responds differently to loss and grief; the model of “</w:t>
      </w:r>
      <w:r w:rsidRPr="00E76B38">
        <w:rPr>
          <w:rFonts w:ascii="Georgia" w:hAnsi="Georgia" w:cstheme="majorBidi"/>
          <w:b/>
          <w:bCs/>
          <w:sz w:val="20"/>
          <w:szCs w:val="20"/>
        </w:rPr>
        <w:t>enduring connections</w:t>
      </w:r>
      <w:r w:rsidRPr="00E76B38">
        <w:rPr>
          <w:rFonts w:ascii="Georgia" w:hAnsi="Georgia" w:cstheme="majorBidi"/>
          <w:sz w:val="20"/>
          <w:szCs w:val="20"/>
        </w:rPr>
        <w:t xml:space="preserve">” between the bereaved and the other(s) is thus seen as a personal process. Accordingly, the review shows that most of the interventions provided to bereaved families in Israel are individual, whereas group interventions – that were customary in the past – gradually decreased. On the other hand, a review of global literature suggests a range of possibilities that include both family and community resources. </w:t>
      </w:r>
    </w:p>
    <w:p w14:paraId="3D67CEE2" w14:textId="77777777" w:rsidR="00E76B38" w:rsidRP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As such, we suggest that there is room to expand the range of interventions that are provided in Israel and to develop these interventions on a broad ecological basis, taking into consideration the individual, the family, the community, and society. This perspective will allow bereaved individuals and aid workers to select, adapt, and combine a pool of individual, family, group and community services. Ecological considerations are especially important when dealing with numerous and collective events of bereavement and loss such as those that Israeli society is facing these days.</w:t>
      </w:r>
    </w:p>
    <w:p w14:paraId="52789A9A" w14:textId="77777777" w:rsidR="00E76B38" w:rsidRDefault="00E76B38" w:rsidP="00E76B38">
      <w:pPr>
        <w:bidi w:val="0"/>
        <w:spacing w:after="120" w:line="280" w:lineRule="exact"/>
        <w:jc w:val="both"/>
        <w:rPr>
          <w:rFonts w:ascii="Georgia" w:hAnsi="Georgia"/>
          <w:sz w:val="20"/>
          <w:szCs w:val="20"/>
        </w:rPr>
      </w:pPr>
    </w:p>
    <w:p w14:paraId="7F0B5872" w14:textId="77777777" w:rsidR="00083589" w:rsidRPr="00E76B38" w:rsidRDefault="00083589" w:rsidP="00083589">
      <w:pPr>
        <w:bidi w:val="0"/>
        <w:spacing w:after="120" w:line="280" w:lineRule="exact"/>
        <w:jc w:val="both"/>
        <w:rPr>
          <w:rFonts w:ascii="Georgia" w:hAnsi="Georgia"/>
          <w:sz w:val="20"/>
          <w:szCs w:val="20"/>
        </w:rPr>
      </w:pPr>
    </w:p>
    <w:p w14:paraId="7F91D39D" w14:textId="77777777" w:rsidR="00E76B38" w:rsidRPr="00E76B38" w:rsidRDefault="00E76B38" w:rsidP="00E76B38">
      <w:pPr>
        <w:pStyle w:val="KOT4"/>
        <w:keepLines/>
        <w:bidi w:val="0"/>
        <w:spacing w:line="240" w:lineRule="auto"/>
        <w:ind w:right="0"/>
        <w:rPr>
          <w:b w:val="0"/>
          <w:bCs w:val="0"/>
          <w:color w:val="2A8E8C"/>
          <w:sz w:val="28"/>
          <w:szCs w:val="28"/>
        </w:rPr>
      </w:pPr>
      <w:bookmarkStart w:id="0" w:name="_Toc127465304"/>
      <w:r w:rsidRPr="00E76B38">
        <w:rPr>
          <w:b w:val="0"/>
          <w:bCs w:val="0"/>
          <w:color w:val="2A8E8C"/>
          <w:sz w:val="28"/>
          <w:szCs w:val="28"/>
        </w:rPr>
        <w:lastRenderedPageBreak/>
        <w:t xml:space="preserve">Negotiating from the margins: Social work with people in poverty in </w:t>
      </w:r>
      <w:proofErr w:type="gramStart"/>
      <w:r w:rsidRPr="00E76B38">
        <w:rPr>
          <w:b w:val="0"/>
          <w:bCs w:val="0"/>
          <w:color w:val="2A8E8C"/>
          <w:sz w:val="28"/>
          <w:szCs w:val="28"/>
        </w:rPr>
        <w:t>Arab-Palestinian</w:t>
      </w:r>
      <w:proofErr w:type="gramEnd"/>
      <w:r w:rsidRPr="00E76B38">
        <w:rPr>
          <w:b w:val="0"/>
          <w:bCs w:val="0"/>
          <w:color w:val="2A8E8C"/>
          <w:sz w:val="28"/>
          <w:szCs w:val="28"/>
        </w:rPr>
        <w:t xml:space="preserve"> society in Israel</w:t>
      </w:r>
    </w:p>
    <w:p w14:paraId="18703BBA" w14:textId="132281B0" w:rsidR="00E76B38" w:rsidRPr="00E76B38" w:rsidRDefault="00E76B38" w:rsidP="00E76B38">
      <w:pPr>
        <w:bidi w:val="0"/>
        <w:spacing w:after="120" w:line="280" w:lineRule="exact"/>
        <w:jc w:val="both"/>
        <w:rPr>
          <w:rFonts w:ascii="Georgia" w:eastAsia="Georgia" w:hAnsi="Georgia" w:cs="Georgia"/>
          <w:i/>
          <w:iCs/>
          <w:sz w:val="20"/>
          <w:szCs w:val="20"/>
        </w:rPr>
      </w:pPr>
      <w:bookmarkStart w:id="1" w:name="_Hlk182778801"/>
      <w:proofErr w:type="spellStart"/>
      <w:r w:rsidRPr="00E76B38">
        <w:rPr>
          <w:rFonts w:ascii="Georgia" w:eastAsia="Georgia" w:hAnsi="Georgia" w:cs="Georgia"/>
          <w:i/>
          <w:iCs/>
          <w:sz w:val="20"/>
          <w:szCs w:val="20"/>
        </w:rPr>
        <w:t>Ensherah</w:t>
      </w:r>
      <w:proofErr w:type="spellEnd"/>
      <w:r w:rsidRPr="00E76B38">
        <w:rPr>
          <w:rFonts w:ascii="Georgia" w:eastAsia="Georgia" w:hAnsi="Georgia" w:cs="Georgia"/>
          <w:i/>
          <w:iCs/>
          <w:sz w:val="20"/>
          <w:szCs w:val="20"/>
        </w:rPr>
        <w:t xml:space="preserve"> Khoury</w:t>
      </w:r>
      <w:r w:rsidRPr="00083589">
        <w:rPr>
          <w:rFonts w:ascii="Georgia" w:eastAsia="Georgia" w:hAnsi="Georgia" w:cs="Georgia"/>
          <w:i/>
          <w:iCs/>
          <w:sz w:val="20"/>
          <w:szCs w:val="20"/>
          <w:vertAlign w:val="superscript"/>
        </w:rPr>
        <w:footnoteReference w:id="4"/>
      </w:r>
      <w:r w:rsidRPr="00E76B38">
        <w:rPr>
          <w:rFonts w:ascii="Georgia" w:eastAsia="Georgia" w:hAnsi="Georgia" w:cs="Georgia"/>
          <w:i/>
          <w:iCs/>
          <w:sz w:val="20"/>
          <w:szCs w:val="20"/>
        </w:rPr>
        <w:t>, Michal Krumer-Nevo</w:t>
      </w:r>
      <w:r w:rsidRPr="00083589">
        <w:rPr>
          <w:rFonts w:ascii="Georgia" w:eastAsia="Georgia" w:hAnsi="Georgia" w:cs="Georgia"/>
          <w:i/>
          <w:iCs/>
          <w:sz w:val="20"/>
          <w:szCs w:val="20"/>
          <w:vertAlign w:val="superscript"/>
        </w:rPr>
        <w:t>3</w:t>
      </w:r>
      <w:r w:rsidRPr="00E76B38">
        <w:rPr>
          <w:rFonts w:ascii="Georgia" w:eastAsia="Georgia" w:hAnsi="Georgia" w:cs="Georgia"/>
          <w:i/>
          <w:iCs/>
          <w:sz w:val="20"/>
          <w:szCs w:val="20"/>
        </w:rPr>
        <w:t xml:space="preserve"> </w:t>
      </w:r>
      <w:r w:rsidR="00083589" w:rsidRPr="00083589">
        <w:rPr>
          <w:rFonts w:ascii="Georgia" w:eastAsia="Georgia" w:hAnsi="Georgia" w:cs="Georgia"/>
          <w:iCs/>
          <w:sz w:val="20"/>
          <w:szCs w:val="20"/>
        </w:rPr>
        <w:t>and</w:t>
      </w:r>
      <w:r w:rsidRPr="00E76B38">
        <w:rPr>
          <w:rFonts w:ascii="Georgia" w:eastAsia="Georgia" w:hAnsi="Georgia" w:cs="Georgia"/>
          <w:i/>
          <w:iCs/>
          <w:sz w:val="20"/>
          <w:szCs w:val="20"/>
        </w:rPr>
        <w:t xml:space="preserve"> Limor Lotan</w:t>
      </w:r>
      <w:r w:rsidRPr="00083589">
        <w:rPr>
          <w:rFonts w:ascii="Georgia" w:eastAsia="Georgia" w:hAnsi="Georgia" w:cs="Georgia"/>
          <w:i/>
          <w:iCs/>
          <w:sz w:val="20"/>
          <w:szCs w:val="20"/>
          <w:vertAlign w:val="superscript"/>
        </w:rPr>
        <w:t>3</w:t>
      </w:r>
      <w:bookmarkEnd w:id="1"/>
    </w:p>
    <w:p w14:paraId="714D049F" w14:textId="77777777" w:rsidR="00083589" w:rsidRPr="00AB3AA5" w:rsidRDefault="00083589" w:rsidP="00083589">
      <w:pPr>
        <w:bidi w:val="0"/>
        <w:jc w:val="both"/>
        <w:rPr>
          <w:rFonts w:ascii="Tahoma" w:hAnsi="Tahoma" w:cs="Tahoma"/>
        </w:rPr>
      </w:pPr>
    </w:p>
    <w:p w14:paraId="24B014A1" w14:textId="77777777" w:rsidR="00E76B38" w:rsidRP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 xml:space="preserve">This article examines the challenges social workers in the Israeli </w:t>
      </w:r>
      <w:proofErr w:type="gramStart"/>
      <w:r w:rsidRPr="00E76B38">
        <w:rPr>
          <w:rFonts w:ascii="Georgia" w:hAnsi="Georgia" w:cstheme="majorBidi"/>
          <w:sz w:val="20"/>
          <w:szCs w:val="20"/>
        </w:rPr>
        <w:t>Arab-Palestinian</w:t>
      </w:r>
      <w:proofErr w:type="gramEnd"/>
      <w:r w:rsidRPr="00E76B38">
        <w:rPr>
          <w:rFonts w:ascii="Georgia" w:hAnsi="Georgia" w:cstheme="majorBidi"/>
          <w:sz w:val="20"/>
          <w:szCs w:val="20"/>
        </w:rPr>
        <w:t xml:space="preserve"> society face and the practices they employ, distinguishing between common challenges in social work with individuals experiencing poverty in Israel and those distinctive to the Arab-Palestinian communities. Applying a critical cultural sensitivity perspective, we consider poverty's broad social, political, and economic contexts. </w:t>
      </w:r>
    </w:p>
    <w:p w14:paraId="121437F6" w14:textId="77777777" w:rsidR="00E76B38" w:rsidRPr="00E76B38" w:rsidRDefault="00E76B38" w:rsidP="00E76B38">
      <w:pPr>
        <w:bidi w:val="0"/>
        <w:spacing w:after="120" w:line="280" w:lineRule="exact"/>
        <w:jc w:val="both"/>
        <w:rPr>
          <w:rFonts w:ascii="Georgia" w:hAnsi="Georgia" w:cstheme="majorBidi"/>
          <w:sz w:val="20"/>
          <w:szCs w:val="20"/>
          <w:rtl/>
        </w:rPr>
      </w:pPr>
      <w:r w:rsidRPr="00E76B38">
        <w:rPr>
          <w:rFonts w:ascii="Georgia" w:hAnsi="Georgia" w:cstheme="majorBidi"/>
          <w:sz w:val="20"/>
          <w:szCs w:val="20"/>
        </w:rPr>
        <w:t xml:space="preserve">Our findings are based on a thematic analysis of 51 semi-structured interviews with social workers in five welfare departments of Arab and Jewish-Arab locales. Our findings indicate that social workers with </w:t>
      </w:r>
      <w:proofErr w:type="gramStart"/>
      <w:r w:rsidRPr="00E76B38">
        <w:rPr>
          <w:rFonts w:ascii="Georgia" w:hAnsi="Georgia" w:cstheme="majorBidi"/>
          <w:sz w:val="20"/>
          <w:szCs w:val="20"/>
        </w:rPr>
        <w:t>Arab-Palestinian</w:t>
      </w:r>
      <w:proofErr w:type="gramEnd"/>
      <w:r w:rsidRPr="00E76B38">
        <w:rPr>
          <w:rFonts w:ascii="Georgia" w:hAnsi="Georgia" w:cstheme="majorBidi"/>
          <w:sz w:val="20"/>
          <w:szCs w:val="20"/>
        </w:rPr>
        <w:t xml:space="preserve"> service users share some challenges with all Israeli social workers in addressing material needs and empathetically understanding the seemingly maladaptive behavior of service users. Social workers also face challenges unique to </w:t>
      </w:r>
      <w:proofErr w:type="gramStart"/>
      <w:r w:rsidRPr="00E76B38">
        <w:rPr>
          <w:rFonts w:ascii="Georgia" w:hAnsi="Georgia" w:cstheme="majorBidi"/>
          <w:sz w:val="20"/>
          <w:szCs w:val="20"/>
        </w:rPr>
        <w:t>Arab-Palestinian</w:t>
      </w:r>
      <w:proofErr w:type="gramEnd"/>
      <w:r w:rsidRPr="00E76B38">
        <w:rPr>
          <w:rFonts w:ascii="Georgia" w:hAnsi="Georgia" w:cstheme="majorBidi"/>
          <w:sz w:val="20"/>
          <w:szCs w:val="20"/>
        </w:rPr>
        <w:t xml:space="preserve"> society, shaped by social, political, and cultural contexts: insufficient employment opportunities, insufficient appropriate welfare services, and difficulties assisting people without status and rights. Although our interviewees are </w:t>
      </w:r>
      <w:proofErr w:type="gramStart"/>
      <w:r w:rsidRPr="00E76B38">
        <w:rPr>
          <w:rFonts w:ascii="Georgia" w:hAnsi="Georgia" w:cstheme="majorBidi"/>
          <w:sz w:val="20"/>
          <w:szCs w:val="20"/>
        </w:rPr>
        <w:t>Arab-Palestinians</w:t>
      </w:r>
      <w:proofErr w:type="gramEnd"/>
      <w:r w:rsidRPr="00E76B38">
        <w:rPr>
          <w:rFonts w:ascii="Georgia" w:hAnsi="Georgia" w:cstheme="majorBidi"/>
          <w:sz w:val="20"/>
          <w:szCs w:val="20"/>
        </w:rPr>
        <w:t xml:space="preserve">, they tend to feel culturally alien from their service users, particularly regarding patriarchal conduct. In response to the overall challenges, they employ a culturally sensitive approach while constantly bargaining with patriarchal norms. We conclude that a notable improvement in the </w:t>
      </w:r>
      <w:proofErr w:type="gramStart"/>
      <w:r w:rsidRPr="00E76B38">
        <w:rPr>
          <w:rFonts w:ascii="Georgia" w:hAnsi="Georgia" w:cstheme="majorBidi"/>
          <w:sz w:val="20"/>
          <w:szCs w:val="20"/>
        </w:rPr>
        <w:t>Arab-Palestinian</w:t>
      </w:r>
      <w:proofErr w:type="gramEnd"/>
      <w:r w:rsidRPr="00E76B38">
        <w:rPr>
          <w:rFonts w:ascii="Georgia" w:hAnsi="Georgia" w:cstheme="majorBidi"/>
          <w:sz w:val="20"/>
          <w:szCs w:val="20"/>
        </w:rPr>
        <w:t xml:space="preserve"> society situation necessitates structural reforms. Meanwhile, social workers could benefit from heightened awareness regarding the impact of structural and social contexts on their service users.</w:t>
      </w:r>
    </w:p>
    <w:bookmarkEnd w:id="0"/>
    <w:p w14:paraId="2CB3992F" w14:textId="77777777" w:rsidR="00E76B38" w:rsidRDefault="00E76B38" w:rsidP="00E76B38">
      <w:pPr>
        <w:bidi w:val="0"/>
        <w:spacing w:after="120" w:line="280" w:lineRule="exact"/>
        <w:jc w:val="both"/>
        <w:rPr>
          <w:rFonts w:ascii="Georgia" w:hAnsi="Georgia" w:cstheme="majorBidi"/>
          <w:sz w:val="20"/>
          <w:szCs w:val="20"/>
        </w:rPr>
      </w:pPr>
    </w:p>
    <w:p w14:paraId="3C4520FF" w14:textId="77777777" w:rsidR="00083589" w:rsidRPr="00E76B38" w:rsidRDefault="00083589" w:rsidP="00083589">
      <w:pPr>
        <w:bidi w:val="0"/>
        <w:spacing w:after="120" w:line="280" w:lineRule="exact"/>
        <w:jc w:val="both"/>
        <w:rPr>
          <w:rFonts w:ascii="Georgia" w:hAnsi="Georgia" w:cstheme="majorBidi"/>
          <w:sz w:val="20"/>
          <w:szCs w:val="20"/>
        </w:rPr>
      </w:pPr>
    </w:p>
    <w:p w14:paraId="38297202" w14:textId="063D3259" w:rsidR="00E76B38" w:rsidRPr="00E76B38" w:rsidRDefault="00E76B38" w:rsidP="00E76B38">
      <w:pPr>
        <w:pStyle w:val="KOT4"/>
        <w:keepLines/>
        <w:bidi w:val="0"/>
        <w:spacing w:line="240" w:lineRule="auto"/>
        <w:ind w:right="0"/>
        <w:rPr>
          <w:b w:val="0"/>
          <w:bCs w:val="0"/>
          <w:color w:val="2A8E8C"/>
          <w:sz w:val="28"/>
          <w:szCs w:val="28"/>
        </w:rPr>
      </w:pPr>
      <w:r w:rsidRPr="00E76B38">
        <w:rPr>
          <w:b w:val="0"/>
          <w:bCs w:val="0"/>
          <w:color w:val="2A8E8C"/>
          <w:sz w:val="28"/>
          <w:szCs w:val="28"/>
        </w:rPr>
        <w:lastRenderedPageBreak/>
        <w:t xml:space="preserve">The one who sees without </w:t>
      </w:r>
      <w:r w:rsidR="00BF4E15" w:rsidRPr="00BF4E15">
        <w:rPr>
          <w:b w:val="0"/>
          <w:bCs w:val="0"/>
          <w:color w:val="2A8E8C"/>
          <w:sz w:val="28"/>
          <w:szCs w:val="28"/>
        </w:rPr>
        <w:t xml:space="preserve">being </w:t>
      </w:r>
      <w:r w:rsidRPr="00E76B38">
        <w:rPr>
          <w:b w:val="0"/>
          <w:bCs w:val="0"/>
          <w:color w:val="2A8E8C"/>
          <w:sz w:val="28"/>
          <w:szCs w:val="28"/>
        </w:rPr>
        <w:t xml:space="preserve">seen: </w:t>
      </w:r>
      <w:r w:rsidR="00BF4E15">
        <w:rPr>
          <w:b w:val="0"/>
          <w:bCs w:val="0"/>
          <w:color w:val="2A8E8C"/>
          <w:sz w:val="28"/>
          <w:szCs w:val="28"/>
        </w:rPr>
        <w:t>T</w:t>
      </w:r>
      <w:r w:rsidRPr="00E76B38">
        <w:rPr>
          <w:b w:val="0"/>
          <w:bCs w:val="0"/>
          <w:color w:val="2A8E8C"/>
          <w:sz w:val="28"/>
          <w:szCs w:val="28"/>
        </w:rPr>
        <w:t>he manpower crisis from the standpoint of staff members in community psychiatric rehabilitation</w:t>
      </w:r>
      <w:r w:rsidR="00083589" w:rsidRPr="00083589">
        <w:rPr>
          <w:b w:val="0"/>
          <w:bCs w:val="0"/>
          <w:color w:val="2A8E8C"/>
          <w:sz w:val="28"/>
          <w:szCs w:val="28"/>
          <w:vertAlign w:val="superscript"/>
        </w:rPr>
        <w:footnoteReference w:id="5"/>
      </w:r>
      <w:r w:rsidR="00083589" w:rsidRPr="00083589">
        <w:rPr>
          <w:b w:val="0"/>
          <w:bCs w:val="0"/>
          <w:color w:val="2A8E8C"/>
          <w:sz w:val="28"/>
          <w:szCs w:val="28"/>
          <w:vertAlign w:val="superscript"/>
        </w:rPr>
        <w:t xml:space="preserve"> </w:t>
      </w:r>
    </w:p>
    <w:p w14:paraId="29077AEA" w14:textId="6FEED461" w:rsidR="00E76B38" w:rsidRPr="00E76B38" w:rsidRDefault="00E76B38" w:rsidP="00E76B38">
      <w:pPr>
        <w:bidi w:val="0"/>
        <w:spacing w:after="120" w:line="280" w:lineRule="exact"/>
        <w:jc w:val="both"/>
        <w:rPr>
          <w:rFonts w:ascii="Georgia" w:eastAsia="Georgia" w:hAnsi="Georgia" w:cs="Georgia"/>
          <w:i/>
          <w:iCs/>
          <w:sz w:val="20"/>
          <w:szCs w:val="20"/>
        </w:rPr>
      </w:pPr>
      <w:r w:rsidRPr="00E76B38">
        <w:rPr>
          <w:rFonts w:ascii="Georgia" w:eastAsia="Georgia" w:hAnsi="Georgia" w:cs="Georgia"/>
          <w:i/>
          <w:iCs/>
          <w:sz w:val="20"/>
          <w:szCs w:val="20"/>
        </w:rPr>
        <w:t>Taisia Leikin</w:t>
      </w:r>
      <w:r w:rsidRPr="00083589">
        <w:rPr>
          <w:rFonts w:ascii="Georgia" w:eastAsia="Georgia" w:hAnsi="Georgia" w:cs="Georgia"/>
          <w:i/>
          <w:iCs/>
          <w:sz w:val="20"/>
          <w:szCs w:val="20"/>
          <w:vertAlign w:val="superscript"/>
        </w:rPr>
        <w:footnoteReference w:id="6"/>
      </w:r>
      <w:r w:rsidRPr="00E76B38">
        <w:rPr>
          <w:rFonts w:ascii="Georgia" w:eastAsia="Georgia" w:hAnsi="Georgia" w:cs="Georgia"/>
          <w:i/>
          <w:iCs/>
          <w:sz w:val="20"/>
          <w:szCs w:val="20"/>
        </w:rPr>
        <w:t>, Max Lachman</w:t>
      </w:r>
      <w:r w:rsidR="00083589" w:rsidRPr="00083589">
        <w:rPr>
          <w:rFonts w:ascii="Georgia" w:eastAsia="Georgia" w:hAnsi="Georgia" w:cs="Georgia"/>
          <w:i/>
          <w:iCs/>
          <w:sz w:val="20"/>
          <w:szCs w:val="20"/>
          <w:vertAlign w:val="superscript"/>
        </w:rPr>
        <w:footnoteReference w:id="7"/>
      </w:r>
      <w:r w:rsidR="00083589" w:rsidRPr="00083589">
        <w:rPr>
          <w:rFonts w:ascii="Georgia" w:eastAsia="Georgia" w:hAnsi="Georgia" w:cs="Georgia"/>
          <w:i/>
          <w:iCs/>
          <w:sz w:val="20"/>
          <w:szCs w:val="20"/>
          <w:vertAlign w:val="superscript"/>
        </w:rPr>
        <w:t xml:space="preserve"> </w:t>
      </w:r>
      <w:r w:rsidR="00083589" w:rsidRPr="00083589">
        <w:rPr>
          <w:rFonts w:ascii="Georgia" w:eastAsia="Georgia" w:hAnsi="Georgia" w:cs="Georgia"/>
          <w:iCs/>
          <w:sz w:val="20"/>
          <w:szCs w:val="20"/>
        </w:rPr>
        <w:t>and</w:t>
      </w:r>
      <w:r w:rsidRPr="00E76B38">
        <w:rPr>
          <w:rFonts w:ascii="Georgia" w:eastAsia="Georgia" w:hAnsi="Georgia" w:cs="Georgia"/>
          <w:i/>
          <w:iCs/>
          <w:sz w:val="20"/>
          <w:szCs w:val="20"/>
        </w:rPr>
        <w:t xml:space="preserve"> Ayala Friedlander</w:t>
      </w:r>
      <w:r w:rsidRPr="00083589">
        <w:rPr>
          <w:rFonts w:ascii="Georgia" w:eastAsia="Georgia" w:hAnsi="Georgia" w:cs="Georgia"/>
          <w:i/>
          <w:iCs/>
          <w:sz w:val="20"/>
          <w:szCs w:val="20"/>
          <w:vertAlign w:val="superscript"/>
        </w:rPr>
        <w:t>5</w:t>
      </w:r>
    </w:p>
    <w:p w14:paraId="6FCCC46A" w14:textId="77777777" w:rsidR="00083589" w:rsidRPr="00AB3AA5" w:rsidRDefault="00083589" w:rsidP="00083589">
      <w:pPr>
        <w:bidi w:val="0"/>
        <w:jc w:val="both"/>
        <w:rPr>
          <w:rFonts w:ascii="Tahoma" w:hAnsi="Tahoma" w:cs="Tahoma"/>
        </w:rPr>
      </w:pPr>
    </w:p>
    <w:p w14:paraId="1F032D30" w14:textId="77777777" w:rsidR="00E76B38" w:rsidRP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The Community Rehabilitation of Persons with Mental Health Disability Law (2000) has led to the extensive development of community rehabilitation services, accompanied by an influx of professional and para-professional workforce into the growing circle of service providers. Nevertheless, over the years, the rehabilitation system has been struggling with difficulties in establishing professional and organizational processes required to strengthen and develop human capital in the field (Aviram, Lachman, &amp; Ifergan, 2023). These difficulties have resulted in a current workforce crisis in the rehabilitation system, manifesting in an inability to provide services adequately, a shortage of workers, recruitment difficulties, and high turnover rates.</w:t>
      </w:r>
    </w:p>
    <w:p w14:paraId="57E95D88" w14:textId="77777777" w:rsidR="00E76B38" w:rsidRP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 xml:space="preserve">A survey conducted by </w:t>
      </w:r>
      <w:proofErr w:type="gramStart"/>
      <w:r w:rsidRPr="00E76B38">
        <w:rPr>
          <w:rFonts w:ascii="Georgia" w:hAnsi="Georgia" w:cstheme="majorBidi"/>
          <w:sz w:val="20"/>
          <w:szCs w:val="20"/>
        </w:rPr>
        <w:t>the ISPRA</w:t>
      </w:r>
      <w:proofErr w:type="gramEnd"/>
      <w:r w:rsidRPr="00E76B38">
        <w:rPr>
          <w:rFonts w:ascii="Georgia" w:hAnsi="Georgia" w:cstheme="majorBidi"/>
          <w:sz w:val="20"/>
          <w:szCs w:val="20"/>
        </w:rPr>
        <w:t xml:space="preserve"> among 552 rehabilitation field workers in varied roles and service-domains, examined their perspectives on rehabilitation work and their evaluation of workforce issues. Quantitative and qualitative data were collected and analyzed, presenting a complex picture with differences between role types and positions in workers’ perceptions regarding workforce issues.</w:t>
      </w:r>
    </w:p>
    <w:p w14:paraId="2EB6151B" w14:textId="77777777" w:rsidR="00E76B38" w:rsidRP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Findings show altruistic motives among rehabilitation staff workers, along with their encounter with substantial barriers in the occupational reality. The survey reveals salient gaps between efforts being invested by workers, and the erosion of their sense-of-value and perceived work-related gain and reward.</w:t>
      </w:r>
    </w:p>
    <w:p w14:paraId="1A547976" w14:textId="77777777" w:rsid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 xml:space="preserve">These findings should be addressed with a practical approach to support </w:t>
      </w:r>
      <w:proofErr w:type="gramStart"/>
      <w:r w:rsidRPr="00E76B38">
        <w:rPr>
          <w:rFonts w:ascii="Georgia" w:hAnsi="Georgia" w:cstheme="majorBidi"/>
          <w:sz w:val="20"/>
          <w:szCs w:val="20"/>
        </w:rPr>
        <w:t>a functioning</w:t>
      </w:r>
      <w:proofErr w:type="gramEnd"/>
      <w:r w:rsidRPr="00E76B38">
        <w:rPr>
          <w:rFonts w:ascii="Georgia" w:hAnsi="Georgia" w:cstheme="majorBidi"/>
          <w:sz w:val="20"/>
          <w:szCs w:val="20"/>
        </w:rPr>
        <w:t xml:space="preserve"> and developing psychiatric rehabilitation system. We suggest several </w:t>
      </w:r>
      <w:proofErr w:type="gramStart"/>
      <w:r w:rsidRPr="00E76B38">
        <w:rPr>
          <w:rFonts w:ascii="Georgia" w:hAnsi="Georgia" w:cstheme="majorBidi"/>
          <w:sz w:val="20"/>
          <w:szCs w:val="20"/>
        </w:rPr>
        <w:t>steps to</w:t>
      </w:r>
      <w:proofErr w:type="gramEnd"/>
      <w:r w:rsidRPr="00E76B38">
        <w:rPr>
          <w:rFonts w:ascii="Georgia" w:hAnsi="Georgia" w:cstheme="majorBidi"/>
          <w:sz w:val="20"/>
          <w:szCs w:val="20"/>
        </w:rPr>
        <w:t xml:space="preserve"> be taken </w:t>
      </w:r>
      <w:proofErr w:type="gramStart"/>
      <w:r w:rsidRPr="00E76B38">
        <w:rPr>
          <w:rFonts w:ascii="Georgia" w:hAnsi="Georgia" w:cstheme="majorBidi"/>
          <w:sz w:val="20"/>
          <w:szCs w:val="20"/>
        </w:rPr>
        <w:t>in order to</w:t>
      </w:r>
      <w:proofErr w:type="gramEnd"/>
      <w:r w:rsidRPr="00E76B38">
        <w:rPr>
          <w:rFonts w:ascii="Georgia" w:hAnsi="Georgia" w:cstheme="majorBidi"/>
          <w:sz w:val="20"/>
          <w:szCs w:val="20"/>
        </w:rPr>
        <w:t xml:space="preserve"> address the current human resource crisis and reduce the presented gaps.</w:t>
      </w:r>
    </w:p>
    <w:p w14:paraId="4D0C0674" w14:textId="77777777" w:rsidR="00E76B38" w:rsidRPr="00E76B38" w:rsidRDefault="00E76B38" w:rsidP="00E76B38">
      <w:pPr>
        <w:pStyle w:val="KOT4"/>
        <w:keepLines/>
        <w:bidi w:val="0"/>
        <w:spacing w:line="240" w:lineRule="auto"/>
        <w:ind w:right="0"/>
        <w:rPr>
          <w:b w:val="0"/>
          <w:bCs w:val="0"/>
          <w:color w:val="2A8E8C"/>
          <w:sz w:val="28"/>
          <w:szCs w:val="28"/>
        </w:rPr>
      </w:pPr>
      <w:r w:rsidRPr="00E76B38">
        <w:rPr>
          <w:b w:val="0"/>
          <w:bCs w:val="0"/>
          <w:color w:val="2A8E8C"/>
          <w:sz w:val="28"/>
          <w:szCs w:val="28"/>
        </w:rPr>
        <w:lastRenderedPageBreak/>
        <w:t xml:space="preserve">“Pension avoidance”: Factors leading to the lack of pension-related information among the Israeli population in </w:t>
      </w:r>
      <w:proofErr w:type="gramStart"/>
      <w:r w:rsidRPr="00E76B38">
        <w:rPr>
          <w:b w:val="0"/>
          <w:bCs w:val="0"/>
          <w:color w:val="2A8E8C"/>
          <w:sz w:val="28"/>
          <w:szCs w:val="28"/>
        </w:rPr>
        <w:t>all of</w:t>
      </w:r>
      <w:proofErr w:type="gramEnd"/>
      <w:r w:rsidRPr="00E76B38">
        <w:rPr>
          <w:b w:val="0"/>
          <w:bCs w:val="0"/>
          <w:color w:val="2A8E8C"/>
          <w:sz w:val="28"/>
          <w:szCs w:val="28"/>
        </w:rPr>
        <w:t xml:space="preserve"> its diversity</w:t>
      </w:r>
    </w:p>
    <w:p w14:paraId="61606927" w14:textId="15CFAD62" w:rsidR="00E76B38" w:rsidRPr="00E76B38" w:rsidRDefault="00E76B38" w:rsidP="00E76B38">
      <w:pPr>
        <w:bidi w:val="0"/>
        <w:spacing w:after="120" w:line="280" w:lineRule="exact"/>
        <w:jc w:val="both"/>
        <w:rPr>
          <w:rFonts w:ascii="Georgia" w:eastAsia="Georgia" w:hAnsi="Georgia" w:cs="Georgia"/>
          <w:i/>
          <w:iCs/>
          <w:sz w:val="20"/>
          <w:szCs w:val="20"/>
        </w:rPr>
      </w:pPr>
      <w:r w:rsidRPr="00E76B38">
        <w:rPr>
          <w:rFonts w:ascii="Georgia" w:eastAsia="Georgia" w:hAnsi="Georgia" w:cs="Georgia"/>
          <w:i/>
          <w:iCs/>
          <w:sz w:val="20"/>
          <w:szCs w:val="20"/>
        </w:rPr>
        <w:t>Guy Hochman</w:t>
      </w:r>
      <w:r w:rsidRPr="00083589">
        <w:rPr>
          <w:rFonts w:ascii="Georgia" w:eastAsia="Georgia" w:hAnsi="Georgia" w:cs="Georgia"/>
          <w:i/>
          <w:iCs/>
          <w:sz w:val="20"/>
          <w:szCs w:val="20"/>
          <w:vertAlign w:val="superscript"/>
        </w:rPr>
        <w:footnoteReference w:id="8"/>
      </w:r>
      <w:r w:rsidRPr="00E76B38">
        <w:rPr>
          <w:rFonts w:ascii="Georgia" w:eastAsia="Georgia" w:hAnsi="Georgia" w:cs="Georgia"/>
          <w:i/>
          <w:iCs/>
          <w:sz w:val="20"/>
          <w:szCs w:val="20"/>
        </w:rPr>
        <w:t>, Rami Yosef</w:t>
      </w:r>
      <w:r w:rsidRPr="00083589">
        <w:rPr>
          <w:rFonts w:ascii="Georgia" w:eastAsia="Georgia" w:hAnsi="Georgia" w:cs="Georgia"/>
          <w:i/>
          <w:iCs/>
          <w:sz w:val="20"/>
          <w:szCs w:val="20"/>
          <w:vertAlign w:val="superscript"/>
        </w:rPr>
        <w:footnoteReference w:id="9"/>
      </w:r>
      <w:r w:rsidRPr="00E76B38">
        <w:rPr>
          <w:rFonts w:ascii="Georgia" w:eastAsia="Georgia" w:hAnsi="Georgia" w:cs="Georgia"/>
          <w:i/>
          <w:iCs/>
          <w:sz w:val="20"/>
          <w:szCs w:val="20"/>
        </w:rPr>
        <w:t xml:space="preserve">, </w:t>
      </w:r>
      <w:proofErr w:type="spellStart"/>
      <w:r w:rsidRPr="00E76B38">
        <w:rPr>
          <w:rFonts w:ascii="Georgia" w:eastAsia="Georgia" w:hAnsi="Georgia" w:cs="Georgia"/>
          <w:i/>
          <w:iCs/>
          <w:sz w:val="20"/>
          <w:szCs w:val="20"/>
        </w:rPr>
        <w:t>Shenhavm</w:t>
      </w:r>
      <w:proofErr w:type="spellEnd"/>
      <w:r w:rsidRPr="00E76B38">
        <w:rPr>
          <w:rFonts w:ascii="Georgia" w:eastAsia="Georgia" w:hAnsi="Georgia" w:cs="Georgia"/>
          <w:i/>
          <w:iCs/>
          <w:sz w:val="20"/>
          <w:szCs w:val="20"/>
        </w:rPr>
        <w:t xml:space="preserve"> Malul</w:t>
      </w:r>
      <w:r w:rsidR="00083589" w:rsidRPr="00083589">
        <w:rPr>
          <w:rFonts w:ascii="Georgia" w:eastAsia="Georgia" w:hAnsi="Georgia" w:cs="Georgia"/>
          <w:i/>
          <w:iCs/>
          <w:sz w:val="20"/>
          <w:szCs w:val="20"/>
          <w:vertAlign w:val="superscript"/>
        </w:rPr>
        <w:footnoteReference w:id="10"/>
      </w:r>
      <w:r w:rsidR="00083589" w:rsidRPr="00083589">
        <w:rPr>
          <w:rFonts w:ascii="Georgia" w:eastAsia="Georgia" w:hAnsi="Georgia" w:cs="Georgia"/>
          <w:i/>
          <w:iCs/>
          <w:sz w:val="20"/>
          <w:szCs w:val="20"/>
          <w:vertAlign w:val="superscript"/>
        </w:rPr>
        <w:t xml:space="preserve"> </w:t>
      </w:r>
      <w:r w:rsidR="00083589" w:rsidRPr="00083589">
        <w:rPr>
          <w:rFonts w:ascii="Georgia" w:eastAsia="Georgia" w:hAnsi="Georgia" w:cs="Georgia"/>
          <w:iCs/>
          <w:sz w:val="20"/>
          <w:szCs w:val="20"/>
        </w:rPr>
        <w:t>and</w:t>
      </w:r>
      <w:r w:rsidRPr="00E76B38">
        <w:rPr>
          <w:rFonts w:ascii="Georgia" w:eastAsia="Georgia" w:hAnsi="Georgia" w:cs="Georgia"/>
          <w:i/>
          <w:iCs/>
          <w:sz w:val="20"/>
          <w:szCs w:val="20"/>
        </w:rPr>
        <w:t xml:space="preserve"> Tehila </w:t>
      </w:r>
      <w:proofErr w:type="spellStart"/>
      <w:r w:rsidRPr="00E76B38">
        <w:rPr>
          <w:rFonts w:ascii="Georgia" w:eastAsia="Georgia" w:hAnsi="Georgia" w:cs="Georgia"/>
          <w:i/>
          <w:iCs/>
          <w:sz w:val="20"/>
          <w:szCs w:val="20"/>
        </w:rPr>
        <w:t>Kalagy</w:t>
      </w:r>
      <w:proofErr w:type="spellEnd"/>
      <w:r w:rsidR="00083589" w:rsidRPr="00083589">
        <w:rPr>
          <w:rFonts w:ascii="Georgia" w:eastAsia="Georgia" w:hAnsi="Georgia" w:cs="Georgia"/>
          <w:i/>
          <w:iCs/>
          <w:sz w:val="20"/>
          <w:szCs w:val="20"/>
          <w:vertAlign w:val="superscript"/>
        </w:rPr>
        <w:footnoteReference w:id="11"/>
      </w:r>
      <w:r w:rsidR="00083589" w:rsidRPr="00083589">
        <w:rPr>
          <w:rFonts w:ascii="Georgia" w:eastAsia="Georgia" w:hAnsi="Georgia" w:cs="Georgia"/>
          <w:i/>
          <w:iCs/>
          <w:sz w:val="20"/>
          <w:szCs w:val="20"/>
          <w:vertAlign w:val="superscript"/>
        </w:rPr>
        <w:t xml:space="preserve"> </w:t>
      </w:r>
    </w:p>
    <w:p w14:paraId="7C740CBD" w14:textId="77777777" w:rsidR="00083589" w:rsidRPr="00AB3AA5" w:rsidRDefault="00083589" w:rsidP="00083589">
      <w:pPr>
        <w:bidi w:val="0"/>
        <w:jc w:val="both"/>
        <w:rPr>
          <w:rFonts w:ascii="Tahoma" w:hAnsi="Tahoma" w:cs="Tahoma"/>
        </w:rPr>
      </w:pPr>
    </w:p>
    <w:p w14:paraId="4AAEF547" w14:textId="77777777" w:rsidR="00E76B38" w:rsidRPr="00E76B38" w:rsidRDefault="00E76B38" w:rsidP="00E76B38">
      <w:pPr>
        <w:bidi w:val="0"/>
        <w:spacing w:after="120" w:line="280" w:lineRule="exact"/>
        <w:jc w:val="both"/>
        <w:rPr>
          <w:rFonts w:ascii="Georgia" w:hAnsi="Georgia" w:cstheme="majorBidi"/>
          <w:sz w:val="20"/>
          <w:szCs w:val="20"/>
        </w:rPr>
      </w:pPr>
      <w:proofErr w:type="gramStart"/>
      <w:r w:rsidRPr="00E76B38">
        <w:rPr>
          <w:rFonts w:ascii="Georgia" w:hAnsi="Georgia" w:cstheme="majorBidi"/>
          <w:sz w:val="20"/>
          <w:szCs w:val="20"/>
        </w:rPr>
        <w:t>Despite the fact that</w:t>
      </w:r>
      <w:proofErr w:type="gramEnd"/>
      <w:r w:rsidRPr="00E76B38">
        <w:rPr>
          <w:rFonts w:ascii="Georgia" w:hAnsi="Georgia" w:cstheme="majorBidi"/>
          <w:sz w:val="20"/>
          <w:szCs w:val="20"/>
        </w:rPr>
        <w:t xml:space="preserve"> pension savings are people’s main source of income in their retirement years, consumers’ awareness and knowledge about pension savings is quite weak. Many people do not acquire the relevant knowledge to plan for their future retirement. This behavior is worrying, since the pension systems transfer </w:t>
      </w:r>
      <w:proofErr w:type="gramStart"/>
      <w:r w:rsidRPr="00E76B38">
        <w:rPr>
          <w:rFonts w:ascii="Georgia" w:hAnsi="Georgia" w:cstheme="majorBidi"/>
          <w:sz w:val="20"/>
          <w:szCs w:val="20"/>
        </w:rPr>
        <w:t>the risks</w:t>
      </w:r>
      <w:proofErr w:type="gramEnd"/>
      <w:r w:rsidRPr="00E76B38">
        <w:rPr>
          <w:rFonts w:ascii="Georgia" w:hAnsi="Georgia" w:cstheme="majorBidi"/>
          <w:sz w:val="20"/>
          <w:szCs w:val="20"/>
        </w:rPr>
        <w:t xml:space="preserve"> and responsibilities to the individual.</w:t>
      </w:r>
    </w:p>
    <w:p w14:paraId="35048527" w14:textId="77777777" w:rsidR="00E76B38" w:rsidRP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 xml:space="preserve">The non-acquisition of knowledge is a hidden phenomenon, in that it is not an action, but rather the lack of action. For this reason, there have been few studies of this </w:t>
      </w:r>
      <w:proofErr w:type="gramStart"/>
      <w:r w:rsidRPr="00E76B38">
        <w:rPr>
          <w:rFonts w:ascii="Georgia" w:hAnsi="Georgia" w:cstheme="majorBidi"/>
          <w:sz w:val="20"/>
          <w:szCs w:val="20"/>
        </w:rPr>
        <w:t>phenomenon</w:t>
      </w:r>
      <w:proofErr w:type="gramEnd"/>
      <w:r w:rsidRPr="00E76B38">
        <w:rPr>
          <w:rFonts w:ascii="Georgia" w:hAnsi="Georgia" w:cstheme="majorBidi"/>
          <w:sz w:val="20"/>
          <w:szCs w:val="20"/>
        </w:rPr>
        <w:t xml:space="preserve"> and fewer (if any) studies have examined this phenomenon among conservative populations. Accordingly, this study aimed to evaluate participants’ non-acquisition of pension-related information, their motives for the non-acquisition of that information, and their levels of pension-related literacy. This included the comparison of two conservative populations that have low levels of exposure to such knowledge (i.e., the Ultra-Orthodox and Arab populations) with the general Israeli population.</w:t>
      </w:r>
    </w:p>
    <w:p w14:paraId="0974F347" w14:textId="77777777" w:rsidR="00E76B38" w:rsidRPr="00E76B38" w:rsidRDefault="00E76B38" w:rsidP="00E76B38">
      <w:pPr>
        <w:bidi w:val="0"/>
        <w:spacing w:after="120" w:line="280" w:lineRule="exact"/>
        <w:jc w:val="both"/>
        <w:rPr>
          <w:rFonts w:ascii="Georgia" w:hAnsi="Georgia" w:cstheme="majorBidi"/>
          <w:sz w:val="20"/>
          <w:szCs w:val="20"/>
        </w:rPr>
      </w:pPr>
      <w:r w:rsidRPr="00E76B38">
        <w:rPr>
          <w:rFonts w:ascii="Georgia" w:hAnsi="Georgia" w:cstheme="majorBidi"/>
          <w:sz w:val="20"/>
          <w:szCs w:val="20"/>
        </w:rPr>
        <w:t xml:space="preserve">A qualitative methodology was used to characterize the non-acquisition of pension-related knowledge and the reasons for it, from the perspective of the individual. The study’s findings reveal similar levels of non-acquisition of pension-related knowledge among the different populations. However, surprisingly, the reasons for not acquiring this knowledge differed between the populations. Members of the general population purposefully avoided acquiring pension-related knowledge due to concerns that pension funds were being improperly managed and concerns about making incorrect decisions. In contrast, the Ultra-Orthodox and Arab individuals’ non-acquisition of pension-related knowledge stemmed from a lack of access to pension-related information and a lack of knowledge as to where relevant </w:t>
      </w:r>
      <w:r w:rsidRPr="00E76B38">
        <w:rPr>
          <w:rFonts w:ascii="Georgia" w:hAnsi="Georgia" w:cstheme="majorBidi"/>
          <w:sz w:val="20"/>
          <w:szCs w:val="20"/>
        </w:rPr>
        <w:lastRenderedPageBreak/>
        <w:t>information could be found. These research findings may help policymakers to take culturally appropriate steps to deal with the non-acquisition of pension-related knowledge and to increase pension savings.</w:t>
      </w:r>
    </w:p>
    <w:p w14:paraId="66A5908E" w14:textId="77777777" w:rsidR="00E76B38" w:rsidRDefault="00E76B38" w:rsidP="00E76B38">
      <w:pPr>
        <w:bidi w:val="0"/>
        <w:spacing w:after="120" w:line="280" w:lineRule="exact"/>
        <w:jc w:val="both"/>
        <w:rPr>
          <w:rFonts w:ascii="Georgia" w:hAnsi="Georgia" w:cstheme="majorBidi"/>
          <w:sz w:val="20"/>
          <w:szCs w:val="20"/>
        </w:rPr>
      </w:pPr>
    </w:p>
    <w:p w14:paraId="744D5AE8" w14:textId="77777777" w:rsidR="00083589" w:rsidRPr="00E76B38" w:rsidRDefault="00083589" w:rsidP="00083589">
      <w:pPr>
        <w:bidi w:val="0"/>
        <w:spacing w:after="120" w:line="280" w:lineRule="exact"/>
        <w:jc w:val="both"/>
        <w:rPr>
          <w:rFonts w:ascii="Georgia" w:hAnsi="Georgia" w:cstheme="majorBidi"/>
          <w:sz w:val="20"/>
          <w:szCs w:val="20"/>
        </w:rPr>
      </w:pPr>
    </w:p>
    <w:p w14:paraId="4DDC100F" w14:textId="77777777" w:rsidR="00E76B38" w:rsidRPr="00E76B38" w:rsidRDefault="00E76B38" w:rsidP="00E76B38">
      <w:pPr>
        <w:pStyle w:val="KOT4"/>
        <w:keepLines/>
        <w:bidi w:val="0"/>
        <w:spacing w:line="240" w:lineRule="auto"/>
        <w:ind w:right="0"/>
        <w:rPr>
          <w:b w:val="0"/>
          <w:bCs w:val="0"/>
          <w:color w:val="2A8E8C"/>
          <w:sz w:val="28"/>
          <w:szCs w:val="28"/>
        </w:rPr>
      </w:pPr>
      <w:r w:rsidRPr="00E76B38">
        <w:rPr>
          <w:b w:val="0"/>
          <w:bCs w:val="0"/>
          <w:color w:val="2A8E8C"/>
          <w:sz w:val="28"/>
          <w:szCs w:val="28"/>
        </w:rPr>
        <w:t>Grandmothers, mothers and infant morbidity: First births among the Arab population in Israel</w:t>
      </w:r>
    </w:p>
    <w:p w14:paraId="3664133F" w14:textId="22F0245D" w:rsidR="00E76B38" w:rsidRPr="00E76B38" w:rsidRDefault="00E76B38" w:rsidP="00E76B38">
      <w:pPr>
        <w:bidi w:val="0"/>
        <w:spacing w:after="120" w:line="280" w:lineRule="exact"/>
        <w:jc w:val="both"/>
        <w:rPr>
          <w:rFonts w:ascii="Georgia" w:eastAsia="Georgia" w:hAnsi="Georgia" w:cs="Georgia"/>
          <w:i/>
          <w:iCs/>
          <w:sz w:val="20"/>
          <w:szCs w:val="20"/>
        </w:rPr>
      </w:pPr>
      <w:r w:rsidRPr="00E76B38">
        <w:rPr>
          <w:rFonts w:ascii="Georgia" w:eastAsia="Georgia" w:hAnsi="Georgia" w:cs="Georgia"/>
          <w:i/>
          <w:iCs/>
          <w:sz w:val="20"/>
          <w:szCs w:val="20"/>
        </w:rPr>
        <w:t>Nuha Sliman</w:t>
      </w:r>
      <w:r w:rsidRPr="00083589">
        <w:rPr>
          <w:rFonts w:ascii="Georgia" w:eastAsia="Georgia" w:hAnsi="Georgia" w:cs="Georgia"/>
          <w:i/>
          <w:iCs/>
          <w:sz w:val="20"/>
          <w:szCs w:val="20"/>
          <w:vertAlign w:val="superscript"/>
        </w:rPr>
        <w:footnoteReference w:id="12"/>
      </w:r>
      <w:r w:rsidRPr="00E76B38">
        <w:rPr>
          <w:rFonts w:ascii="Georgia" w:eastAsia="Georgia" w:hAnsi="Georgia" w:cs="Georgia"/>
          <w:i/>
          <w:iCs/>
          <w:sz w:val="20"/>
          <w:szCs w:val="20"/>
        </w:rPr>
        <w:t>, Jon Anson</w:t>
      </w:r>
      <w:r w:rsidRPr="00083589">
        <w:rPr>
          <w:rFonts w:ascii="Georgia" w:eastAsia="Georgia" w:hAnsi="Georgia" w:cs="Georgia"/>
          <w:sz w:val="20"/>
          <w:szCs w:val="20"/>
          <w:vertAlign w:val="superscript"/>
        </w:rPr>
        <w:footnoteReference w:id="13"/>
      </w:r>
      <w:r w:rsidRPr="00E76B38">
        <w:rPr>
          <w:rFonts w:ascii="Georgia" w:eastAsia="Georgia" w:hAnsi="Georgia" w:cs="Georgia"/>
          <w:i/>
          <w:iCs/>
          <w:sz w:val="20"/>
          <w:szCs w:val="20"/>
        </w:rPr>
        <w:t xml:space="preserve">, Julie </w:t>
      </w:r>
      <w:proofErr w:type="spellStart"/>
      <w:r w:rsidRPr="00E76B38">
        <w:rPr>
          <w:rFonts w:ascii="Georgia" w:eastAsia="Georgia" w:hAnsi="Georgia" w:cs="Georgia"/>
          <w:i/>
          <w:iCs/>
          <w:sz w:val="20"/>
          <w:szCs w:val="20"/>
        </w:rPr>
        <w:t>Cwikel</w:t>
      </w:r>
      <w:proofErr w:type="spellEnd"/>
      <w:r w:rsidR="00083589" w:rsidRPr="00083589">
        <w:rPr>
          <w:rFonts w:ascii="Georgia" w:eastAsia="Georgia" w:hAnsi="Georgia" w:cs="Georgia"/>
          <w:i/>
          <w:iCs/>
          <w:sz w:val="20"/>
          <w:szCs w:val="20"/>
          <w:vertAlign w:val="superscript"/>
        </w:rPr>
        <w:footnoteReference w:id="14"/>
      </w:r>
      <w:r w:rsidR="00083589" w:rsidRPr="00083589">
        <w:rPr>
          <w:rFonts w:ascii="Georgia" w:eastAsia="Georgia" w:hAnsi="Georgia" w:cs="Georgia"/>
          <w:i/>
          <w:iCs/>
          <w:sz w:val="20"/>
          <w:szCs w:val="20"/>
          <w:vertAlign w:val="superscript"/>
        </w:rPr>
        <w:t xml:space="preserve"> </w:t>
      </w:r>
      <w:r w:rsidR="00083589" w:rsidRPr="00083589">
        <w:rPr>
          <w:rFonts w:ascii="Georgia" w:eastAsia="Georgia" w:hAnsi="Georgia" w:cs="Georgia"/>
          <w:iCs/>
          <w:sz w:val="20"/>
          <w:szCs w:val="20"/>
        </w:rPr>
        <w:t>and</w:t>
      </w:r>
      <w:r w:rsidRPr="00E76B38">
        <w:rPr>
          <w:rFonts w:ascii="Georgia" w:eastAsia="Georgia" w:hAnsi="Georgia" w:cs="Georgia"/>
          <w:i/>
          <w:iCs/>
          <w:sz w:val="20"/>
          <w:szCs w:val="20"/>
        </w:rPr>
        <w:t xml:space="preserve"> Ofra Anson</w:t>
      </w:r>
      <w:r w:rsidRPr="00083589">
        <w:rPr>
          <w:rFonts w:ascii="Georgia" w:eastAsia="Georgia" w:hAnsi="Georgia" w:cs="Georgia"/>
          <w:i/>
          <w:iCs/>
          <w:sz w:val="20"/>
          <w:szCs w:val="20"/>
          <w:vertAlign w:val="superscript"/>
        </w:rPr>
        <w:t>11</w:t>
      </w:r>
    </w:p>
    <w:p w14:paraId="56A573DC" w14:textId="77777777" w:rsidR="00083589" w:rsidRPr="00AB3AA5" w:rsidRDefault="00083589" w:rsidP="00083589">
      <w:pPr>
        <w:bidi w:val="0"/>
        <w:jc w:val="both"/>
        <w:rPr>
          <w:rFonts w:ascii="Tahoma" w:hAnsi="Tahoma" w:cs="Tahoma"/>
        </w:rPr>
      </w:pPr>
    </w:p>
    <w:p w14:paraId="384326C9" w14:textId="77777777" w:rsidR="00E76B38" w:rsidRPr="00E76B38" w:rsidRDefault="00E76B38" w:rsidP="00E76B38">
      <w:pPr>
        <w:bidi w:val="0"/>
        <w:spacing w:after="120" w:line="280" w:lineRule="exact"/>
        <w:jc w:val="both"/>
        <w:rPr>
          <w:rFonts w:ascii="Georgia" w:hAnsi="Georgia" w:cs="Times New Roman"/>
          <w:sz w:val="20"/>
          <w:szCs w:val="20"/>
        </w:rPr>
      </w:pPr>
      <w:r w:rsidRPr="00E76B38">
        <w:rPr>
          <w:rFonts w:ascii="Georgia" w:hAnsi="Georgia" w:cs="Times New Roman"/>
          <w:sz w:val="20"/>
          <w:szCs w:val="20"/>
        </w:rPr>
        <w:t xml:space="preserve">The evolutionary perspective argues that if women survive beyond their reproductive life span, this is because they contribute to human fitness and survival through their contribution to the survival and growth of their grandchildren, </w:t>
      </w:r>
      <w:proofErr w:type="gramStart"/>
      <w:r w:rsidRPr="00E76B38">
        <w:rPr>
          <w:rFonts w:ascii="Georgia" w:hAnsi="Georgia" w:cs="Times New Roman"/>
          <w:sz w:val="20"/>
          <w:szCs w:val="20"/>
        </w:rPr>
        <w:t>in particular</w:t>
      </w:r>
      <w:proofErr w:type="gramEnd"/>
      <w:r w:rsidRPr="00E76B38">
        <w:rPr>
          <w:rFonts w:ascii="Georgia" w:hAnsi="Georgia" w:cs="Times New Roman"/>
          <w:sz w:val="20"/>
          <w:szCs w:val="20"/>
        </w:rPr>
        <w:t xml:space="preserve"> their daughter’s children. We investigate an extension of this argument, namely, that even under conditions of low mortality, a close relation between a mother and her mother, or even her mother-in-law, will reduce infant morbidity and hospitalization. We interviewed 388 </w:t>
      </w:r>
      <w:proofErr w:type="gramStart"/>
      <w:r w:rsidRPr="00E76B38">
        <w:rPr>
          <w:rFonts w:ascii="Georgia" w:hAnsi="Georgia" w:cs="Times New Roman"/>
          <w:sz w:val="20"/>
          <w:szCs w:val="20"/>
        </w:rPr>
        <w:t>Palestinian-Arab</w:t>
      </w:r>
      <w:proofErr w:type="gramEnd"/>
      <w:r w:rsidRPr="00E76B38">
        <w:rPr>
          <w:rFonts w:ascii="Georgia" w:hAnsi="Georgia" w:cs="Times New Roman"/>
          <w:sz w:val="20"/>
          <w:szCs w:val="20"/>
        </w:rPr>
        <w:t xml:space="preserve"> mothers who gave birth at the French Hospital in Nazareth, one year after their first birth, and recorded their infants’ diseases in the past month, and hospitalization in the past year. </w:t>
      </w:r>
    </w:p>
    <w:p w14:paraId="0333D121" w14:textId="77777777" w:rsidR="00E76B38" w:rsidRPr="00E76B38" w:rsidRDefault="00E76B38" w:rsidP="00E76B38">
      <w:pPr>
        <w:bidi w:val="0"/>
        <w:spacing w:after="120" w:line="280" w:lineRule="exact"/>
        <w:jc w:val="both"/>
        <w:rPr>
          <w:rFonts w:ascii="Georgia" w:hAnsi="Georgia" w:cs="Times New Roman"/>
          <w:sz w:val="20"/>
          <w:szCs w:val="20"/>
        </w:rPr>
      </w:pPr>
      <w:r w:rsidRPr="00E76B38">
        <w:rPr>
          <w:rFonts w:ascii="Georgia" w:hAnsi="Georgia" w:cs="Times New Roman"/>
          <w:sz w:val="20"/>
          <w:szCs w:val="20"/>
        </w:rPr>
        <w:t xml:space="preserve">Our results indicated: (1) Mothers of children who were not sick in the past month, and not hospitalized in the past year, had significantly better relations with their mothers and mother-in-law than mothers of children who were sick or hospitalized. (2) Multivariate analysis indicated that illness was lower for children whose maternal grandmothers were still </w:t>
      </w:r>
      <w:proofErr w:type="gramStart"/>
      <w:r w:rsidRPr="00E76B38">
        <w:rPr>
          <w:rFonts w:ascii="Georgia" w:hAnsi="Georgia" w:cs="Times New Roman"/>
          <w:sz w:val="20"/>
          <w:szCs w:val="20"/>
        </w:rPr>
        <w:t>alive;</w:t>
      </w:r>
      <w:proofErr w:type="gramEnd"/>
      <w:r w:rsidRPr="00E76B38">
        <w:rPr>
          <w:rFonts w:ascii="Georgia" w:hAnsi="Georgia" w:cs="Times New Roman"/>
          <w:sz w:val="20"/>
          <w:szCs w:val="20"/>
        </w:rPr>
        <w:t xml:space="preserve"> who breastfed for six months or longer and whose mothers had high school matriculation or higher education. Hospitalizations were fewer among children who had breastfed for six months or longer; whose pregnancy had not been designated at risk and whose mothers were non-religious. </w:t>
      </w:r>
    </w:p>
    <w:p w14:paraId="75EA85E0" w14:textId="77777777" w:rsidR="00E76B38" w:rsidRPr="00E76B38" w:rsidRDefault="00E76B38" w:rsidP="00E76B38">
      <w:pPr>
        <w:bidi w:val="0"/>
        <w:spacing w:after="120" w:line="280" w:lineRule="exact"/>
        <w:jc w:val="both"/>
        <w:rPr>
          <w:rFonts w:ascii="Georgia" w:hAnsi="Georgia" w:cs="Times New Roman"/>
          <w:sz w:val="20"/>
          <w:szCs w:val="20"/>
        </w:rPr>
      </w:pPr>
      <w:r w:rsidRPr="00E76B38">
        <w:rPr>
          <w:rFonts w:ascii="Georgia" w:hAnsi="Georgia" w:cs="Times New Roman"/>
          <w:sz w:val="20"/>
          <w:szCs w:val="20"/>
        </w:rPr>
        <w:lastRenderedPageBreak/>
        <w:t>We conclude that even in today’s conditions, with accessible medical services and growing education for women, the presence of the maternal grandmother can significantly reduce infant morbidity.</w:t>
      </w:r>
    </w:p>
    <w:p w14:paraId="6F755EA7" w14:textId="77777777" w:rsidR="00AB3AA5" w:rsidRPr="00E76B38" w:rsidRDefault="00AB3AA5" w:rsidP="00E76B38">
      <w:pPr>
        <w:bidi w:val="0"/>
        <w:spacing w:after="120" w:line="280" w:lineRule="exact"/>
        <w:jc w:val="both"/>
        <w:rPr>
          <w:rFonts w:ascii="Georgia" w:hAnsi="Georgia"/>
          <w:b/>
          <w:bCs/>
          <w:sz w:val="16"/>
          <w:szCs w:val="16"/>
        </w:rPr>
      </w:pPr>
    </w:p>
    <w:sectPr w:rsidR="00AB3AA5" w:rsidRPr="00E76B38" w:rsidSect="00073600">
      <w:headerReference w:type="even" r:id="rId11"/>
      <w:headerReference w:type="default" r:id="rId12"/>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FCF5" w14:textId="77777777" w:rsidR="00AE030B" w:rsidRDefault="00AE030B">
      <w:pPr>
        <w:spacing w:line="240" w:lineRule="auto"/>
      </w:pPr>
      <w:r>
        <w:separator/>
      </w:r>
    </w:p>
  </w:endnote>
  <w:endnote w:type="continuationSeparator" w:id="0">
    <w:p w14:paraId="153E3BF5" w14:textId="77777777" w:rsidR="00AE030B" w:rsidRDefault="00AE0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1ECA7" w14:textId="77777777" w:rsidR="00AE030B" w:rsidRDefault="00AE030B"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34205776" w14:textId="77777777" w:rsidR="00AE030B" w:rsidRDefault="00AE030B">
      <w:r>
        <w:continuationSeparator/>
      </w:r>
    </w:p>
  </w:footnote>
  <w:footnote w:type="continuationNotice" w:id="1">
    <w:p w14:paraId="30E40CE6" w14:textId="77777777" w:rsidR="00AE030B" w:rsidRDefault="00AE030B">
      <w:pPr>
        <w:rPr>
          <w:rtl/>
        </w:rPr>
      </w:pPr>
    </w:p>
  </w:footnote>
  <w:footnote w:id="2">
    <w:p w14:paraId="0488DA4F" w14:textId="77777777" w:rsidR="00083589"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Pr="00E76B38">
        <w:rPr>
          <w:rFonts w:ascii="Georgia" w:eastAsia="Arial Unicode MS" w:hAnsi="Georgia" w:cs="Arial Unicode MS"/>
          <w:color w:val="000000"/>
          <w:sz w:val="16"/>
          <w:szCs w:val="16"/>
          <w:u w:color="000000"/>
          <w:bdr w:val="nil"/>
        </w:rPr>
        <w:t>School of Social Work, Sapir Academic College</w:t>
      </w:r>
    </w:p>
  </w:footnote>
  <w:footnote w:id="3">
    <w:p w14:paraId="5E4193E7" w14:textId="77777777" w:rsidR="00083589" w:rsidRPr="00E76B38" w:rsidRDefault="00083589" w:rsidP="00083589">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Pr="00E76B38">
        <w:rPr>
          <w:rFonts w:ascii="Georgia" w:eastAsia="Arial Unicode MS" w:hAnsi="Georgia" w:cs="Arial Unicode MS"/>
          <w:color w:val="000000"/>
          <w:sz w:val="16"/>
          <w:szCs w:val="16"/>
          <w:u w:color="000000"/>
          <w:bdr w:val="nil"/>
        </w:rPr>
        <w:t xml:space="preserve">School of Social Work, Bar-Ilan University </w:t>
      </w:r>
    </w:p>
  </w:footnote>
  <w:footnote w:id="4">
    <w:p w14:paraId="0C9FEE46" w14:textId="170EB113" w:rsidR="00E76B38" w:rsidRPr="00E76B38" w:rsidRDefault="00083589" w:rsidP="00083589">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00E76B38" w:rsidRPr="00E76B38">
        <w:rPr>
          <w:rFonts w:ascii="Georgia" w:eastAsia="Arial Unicode MS" w:hAnsi="Georgia" w:cs="Arial Unicode MS"/>
          <w:color w:val="000000"/>
          <w:sz w:val="16"/>
          <w:szCs w:val="16"/>
          <w:u w:color="000000"/>
          <w:bdr w:val="nil"/>
        </w:rPr>
        <w:t>Spitzer Department of Social Work, Ben-Gurion University of the Negev</w:t>
      </w:r>
    </w:p>
  </w:footnote>
  <w:footnote w:id="5">
    <w:p w14:paraId="72D3C329" w14:textId="77777777" w:rsidR="00083589" w:rsidRPr="00E76B38" w:rsidRDefault="00083589" w:rsidP="00083589">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Pr="00E76B38">
        <w:rPr>
          <w:rFonts w:ascii="Georgia" w:eastAsia="Arial Unicode MS" w:hAnsi="Georgia" w:cs="Arial Unicode MS"/>
          <w:color w:val="000000"/>
          <w:sz w:val="16"/>
          <w:szCs w:val="16"/>
          <w:u w:color="000000"/>
          <w:bdr w:val="nil"/>
        </w:rPr>
        <w:t>Findings from a survey among mental health rehabilitation staff members during 2022</w:t>
      </w:r>
    </w:p>
  </w:footnote>
  <w:footnote w:id="6">
    <w:p w14:paraId="009A6380" w14:textId="32970FBB" w:rsidR="00E76B38"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00E76B38" w:rsidRPr="00E76B38">
        <w:rPr>
          <w:rFonts w:ascii="Georgia" w:eastAsia="Arial Unicode MS" w:hAnsi="Georgia" w:cs="Arial Unicode MS"/>
          <w:color w:val="000000"/>
          <w:sz w:val="16"/>
          <w:szCs w:val="16"/>
          <w:u w:color="000000"/>
          <w:bdr w:val="nil"/>
        </w:rPr>
        <w:t>Israel Psychiatric Rehabilitation Association (ISPRA)</w:t>
      </w:r>
    </w:p>
  </w:footnote>
  <w:footnote w:id="7">
    <w:p w14:paraId="16BF9A85" w14:textId="77777777" w:rsidR="00083589"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t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Pr="00E76B38">
        <w:rPr>
          <w:rFonts w:ascii="Georgia" w:eastAsia="Arial Unicode MS" w:hAnsi="Georgia" w:cs="Arial Unicode MS"/>
          <w:color w:val="000000"/>
          <w:sz w:val="16"/>
          <w:szCs w:val="16"/>
          <w:u w:color="000000"/>
          <w:bdr w:val="nil"/>
        </w:rPr>
        <w:t>Faculty of Social Welfare and Heath Sciences, University of Haifa</w:t>
      </w:r>
    </w:p>
  </w:footnote>
  <w:footnote w:id="8">
    <w:p w14:paraId="00035CF3" w14:textId="3021F8C3" w:rsidR="00E76B38"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00E76B38" w:rsidRPr="00E76B38">
        <w:rPr>
          <w:rFonts w:ascii="Georgia" w:eastAsia="Arial Unicode MS" w:hAnsi="Georgia" w:cs="Arial Unicode MS"/>
          <w:color w:val="000000"/>
          <w:sz w:val="16"/>
          <w:szCs w:val="16"/>
          <w:u w:color="000000"/>
          <w:bdr w:val="nil"/>
        </w:rPr>
        <w:t>Baruch Ivcher School of Psychology, Reichman University</w:t>
      </w:r>
    </w:p>
  </w:footnote>
  <w:footnote w:id="9">
    <w:p w14:paraId="1C1186AF" w14:textId="1B6B1B8E" w:rsidR="00E76B38"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bookmarkStart w:id="2" w:name="_Hlk158797452"/>
      <w:r w:rsidR="00E76B38" w:rsidRPr="00E76B38">
        <w:rPr>
          <w:rFonts w:ascii="Georgia" w:eastAsia="Arial Unicode MS" w:hAnsi="Georgia" w:cs="Arial Unicode MS"/>
          <w:color w:val="000000"/>
          <w:sz w:val="16"/>
          <w:szCs w:val="16"/>
          <w:u w:color="000000"/>
          <w:bdr w:val="nil"/>
        </w:rPr>
        <w:t>Department of Business Administration</w:t>
      </w:r>
      <w:bookmarkEnd w:id="2"/>
      <w:r w:rsidR="00E76B38" w:rsidRPr="00E76B38">
        <w:rPr>
          <w:rFonts w:ascii="Georgia" w:eastAsia="Arial Unicode MS" w:hAnsi="Georgia" w:cs="Arial Unicode MS"/>
          <w:color w:val="000000"/>
          <w:sz w:val="16"/>
          <w:szCs w:val="16"/>
          <w:u w:color="000000"/>
          <w:bdr w:val="nil"/>
        </w:rPr>
        <w:t>, Ben-Gurion University of the Negev</w:t>
      </w:r>
    </w:p>
  </w:footnote>
  <w:footnote w:id="10">
    <w:p w14:paraId="2C2D5033" w14:textId="77777777" w:rsidR="00083589"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Pr="00E76B38">
        <w:rPr>
          <w:rFonts w:ascii="Georgia" w:eastAsia="Arial Unicode MS" w:hAnsi="Georgia" w:cs="Arial Unicode MS"/>
          <w:color w:val="000000"/>
          <w:sz w:val="16"/>
          <w:szCs w:val="16"/>
          <w:u w:color="000000"/>
          <w:bdr w:val="nil"/>
        </w:rPr>
        <w:t>Faculty of Business Administration, Ono Academic College</w:t>
      </w:r>
    </w:p>
  </w:footnote>
  <w:footnote w:id="11">
    <w:p w14:paraId="6EE34561" w14:textId="77777777" w:rsidR="00083589"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Pr="00E76B38">
        <w:rPr>
          <w:rFonts w:ascii="Georgia" w:eastAsia="Arial Unicode MS" w:hAnsi="Georgia" w:cs="Arial Unicode MS"/>
          <w:color w:val="000000"/>
          <w:sz w:val="16"/>
          <w:szCs w:val="16"/>
          <w:u w:color="000000"/>
          <w:bdr w:val="nil"/>
        </w:rPr>
        <w:t>Department of Public Policy and Management, Ben-Gurion University of the Negev</w:t>
      </w:r>
    </w:p>
  </w:footnote>
  <w:footnote w:id="12">
    <w:p w14:paraId="2710343C" w14:textId="4FE08A93" w:rsidR="00E76B38"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00E76B38" w:rsidRPr="00E76B38">
        <w:rPr>
          <w:rFonts w:ascii="Georgia" w:eastAsia="Arial Unicode MS" w:hAnsi="Georgia" w:cs="Arial Unicode MS"/>
          <w:color w:val="000000"/>
          <w:sz w:val="16"/>
          <w:szCs w:val="16"/>
          <w:u w:color="000000"/>
          <w:bdr w:val="nil"/>
        </w:rPr>
        <w:t xml:space="preserve">Spitzer Department of Social Work, Ben-Gurion University of the Negev </w:t>
      </w:r>
    </w:p>
  </w:footnote>
  <w:footnote w:id="13">
    <w:p w14:paraId="33B0AEE6" w14:textId="6D65246D" w:rsidR="00E76B38"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00E76B38" w:rsidRPr="00E76B38">
        <w:rPr>
          <w:rFonts w:ascii="Georgia" w:eastAsia="Arial Unicode MS" w:hAnsi="Georgia" w:cs="Arial Unicode MS"/>
          <w:color w:val="000000"/>
          <w:sz w:val="16"/>
          <w:szCs w:val="16"/>
          <w:u w:color="000000"/>
          <w:bdr w:val="nil"/>
        </w:rPr>
        <w:t>Faculty of Health Sciences, Ben-Gurion University of the Negev</w:t>
      </w:r>
    </w:p>
  </w:footnote>
  <w:footnote w:id="14">
    <w:p w14:paraId="74FC7212" w14:textId="77777777" w:rsidR="00083589" w:rsidRPr="00E76B38" w:rsidRDefault="00083589" w:rsidP="00E76B38">
      <w:pPr>
        <w:bidi w:val="0"/>
        <w:spacing w:line="200" w:lineRule="exact"/>
        <w:ind w:left="397" w:hanging="397"/>
        <w:jc w:val="both"/>
        <w:rPr>
          <w:rFonts w:ascii="Georgia" w:eastAsia="Arial Unicode MS" w:hAnsi="Georgia" w:cs="Arial Unicode MS"/>
          <w:color w:val="000000"/>
          <w:sz w:val="16"/>
          <w:szCs w:val="16"/>
          <w:u w:color="000000"/>
          <w:bdr w:val="nil"/>
        </w:rPr>
      </w:pPr>
      <w:r w:rsidRPr="00E76B38">
        <w:rPr>
          <w:rFonts w:ascii="Georgia" w:eastAsia="Arial Unicode MS" w:hAnsi="Georgia" w:cs="Arial Unicode MS"/>
          <w:color w:val="000000"/>
          <w:sz w:val="16"/>
          <w:szCs w:val="16"/>
          <w:u w:color="000000"/>
          <w:bdr w:val="nil"/>
        </w:rPr>
        <w:footnoteRef/>
      </w:r>
      <w:r w:rsidRPr="00E76B38">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Pr="00E76B38">
        <w:rPr>
          <w:rFonts w:ascii="Georgia" w:eastAsia="Arial Unicode MS" w:hAnsi="Georgia" w:cs="Arial Unicode MS"/>
          <w:color w:val="000000"/>
          <w:sz w:val="16"/>
          <w:szCs w:val="16"/>
          <w:u w:color="000000"/>
          <w:bdr w:val="nil"/>
        </w:rPr>
        <w:t>Center for Women’s Health Studies and Promotion, Ben-Gurion University of the Negev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2B88F" w14:textId="77777777" w:rsidR="00A461C2" w:rsidRDefault="00A4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4C26" w14:textId="77777777" w:rsidR="00A461C2" w:rsidRDefault="00A4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7026" w14:textId="77777777" w:rsidR="00B74B0D" w:rsidRPr="0065760C" w:rsidRDefault="00B74B0D" w:rsidP="00B7129D">
    <w:pPr>
      <w:pStyle w:val="Heading1"/>
      <w:tabs>
        <w:tab w:val="center" w:pos="4536"/>
        <w:tab w:val="right" w:pos="9072"/>
      </w:tabs>
      <w:bidi w:val="0"/>
      <w:rPr>
        <w:rFonts w:ascii="Georgia" w:hAnsi="Georgia" w:cstheme="majorBidi"/>
        <w:b w:val="0"/>
        <w:bCs w:val="0"/>
        <w:color w:val="A6A6A6"/>
        <w:sz w:val="22"/>
        <w:szCs w:val="22"/>
      </w:rPr>
    </w:pP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14</w:t>
    </w:r>
    <w:r>
      <w:rPr>
        <w:rFonts w:ascii="Georgia" w:hAnsi="Georgia" w:cstheme="majorBidi"/>
        <w:noProof/>
        <w:sz w:val="24"/>
        <w:szCs w:val="24"/>
      </w:rPr>
      <w:fldChar w:fldCharType="end"/>
    </w:r>
    <w:r w:rsidRPr="0065760C">
      <w:rPr>
        <w:rFonts w:ascii="Georgia" w:hAnsi="Georgia" w:cstheme="majorBidi"/>
        <w:b w:val="0"/>
        <w:bCs w:val="0"/>
        <w:noProof/>
        <w:sz w:val="18"/>
        <w:szCs w:val="18"/>
      </w:rPr>
      <w:t xml:space="preserve"> | Israel </w:t>
    </w:r>
    <w:r w:rsidRPr="0065760C">
      <w:rPr>
        <w:rFonts w:ascii="Georgia" w:hAnsi="Georgia" w:cstheme="majorBidi"/>
        <w:b w:val="0"/>
        <w:bCs w:val="0"/>
        <w:sz w:val="18"/>
        <w:szCs w:val="18"/>
      </w:rPr>
      <w:t>Journal of Social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ED32" w14:textId="77777777" w:rsidR="00B74B0D" w:rsidRPr="0065760C" w:rsidRDefault="00B74B0D" w:rsidP="00A803F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15</w:t>
    </w:r>
    <w:r>
      <w:rPr>
        <w:rFonts w:ascii="Georgia" w:hAnsi="Georgia"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695235">
    <w:abstractNumId w:val="13"/>
  </w:num>
  <w:num w:numId="2" w16cid:durableId="1614551844">
    <w:abstractNumId w:val="17"/>
  </w:num>
  <w:num w:numId="3" w16cid:durableId="1411152202">
    <w:abstractNumId w:val="26"/>
  </w:num>
  <w:num w:numId="4" w16cid:durableId="1363553954">
    <w:abstractNumId w:val="23"/>
  </w:num>
  <w:num w:numId="5" w16cid:durableId="1179614815">
    <w:abstractNumId w:val="8"/>
  </w:num>
  <w:num w:numId="6" w16cid:durableId="1794398439">
    <w:abstractNumId w:val="22"/>
  </w:num>
  <w:num w:numId="7" w16cid:durableId="666592796">
    <w:abstractNumId w:val="15"/>
  </w:num>
  <w:num w:numId="8" w16cid:durableId="1135215764">
    <w:abstractNumId w:val="0"/>
  </w:num>
  <w:num w:numId="9" w16cid:durableId="696467008">
    <w:abstractNumId w:val="7"/>
  </w:num>
  <w:num w:numId="10" w16cid:durableId="2144155083">
    <w:abstractNumId w:val="25"/>
  </w:num>
  <w:num w:numId="11" w16cid:durableId="2039042357">
    <w:abstractNumId w:val="24"/>
  </w:num>
  <w:num w:numId="12" w16cid:durableId="467168696">
    <w:abstractNumId w:val="18"/>
  </w:num>
  <w:num w:numId="13" w16cid:durableId="1874268335">
    <w:abstractNumId w:val="11"/>
  </w:num>
  <w:num w:numId="14" w16cid:durableId="451560653">
    <w:abstractNumId w:val="6"/>
  </w:num>
  <w:num w:numId="15" w16cid:durableId="1553686965">
    <w:abstractNumId w:val="10"/>
  </w:num>
  <w:num w:numId="16" w16cid:durableId="1384986490">
    <w:abstractNumId w:val="4"/>
  </w:num>
  <w:num w:numId="17" w16cid:durableId="762455648">
    <w:abstractNumId w:val="27"/>
  </w:num>
  <w:num w:numId="18" w16cid:durableId="727925442">
    <w:abstractNumId w:val="19"/>
  </w:num>
  <w:num w:numId="19" w16cid:durableId="2056588032">
    <w:abstractNumId w:val="9"/>
  </w:num>
  <w:num w:numId="20" w16cid:durableId="2138449907">
    <w:abstractNumId w:val="3"/>
  </w:num>
  <w:num w:numId="21" w16cid:durableId="915866014">
    <w:abstractNumId w:val="1"/>
  </w:num>
  <w:num w:numId="22" w16cid:durableId="1432434260">
    <w:abstractNumId w:val="5"/>
  </w:num>
  <w:num w:numId="23" w16cid:durableId="1565676187">
    <w:abstractNumId w:val="12"/>
  </w:num>
  <w:num w:numId="24" w16cid:durableId="2085451382">
    <w:abstractNumId w:val="20"/>
  </w:num>
  <w:num w:numId="25" w16cid:durableId="1428384255">
    <w:abstractNumId w:val="21"/>
  </w:num>
  <w:num w:numId="26" w16cid:durableId="178857142">
    <w:abstractNumId w:val="16"/>
  </w:num>
  <w:num w:numId="27" w16cid:durableId="805314277">
    <w:abstractNumId w:val="14"/>
  </w:num>
  <w:num w:numId="28" w16cid:durableId="86733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yMjI2NTCxtDS0MLVQ0lEKTi0uzszPAykwrAUAWjPp3ywAAAA="/>
  </w:docVars>
  <w:rsids>
    <w:rsidRoot w:val="00CA7399"/>
    <w:rsid w:val="0000281B"/>
    <w:rsid w:val="00010D3A"/>
    <w:rsid w:val="0004076F"/>
    <w:rsid w:val="00040A44"/>
    <w:rsid w:val="0004379A"/>
    <w:rsid w:val="00045673"/>
    <w:rsid w:val="00054D88"/>
    <w:rsid w:val="000552ED"/>
    <w:rsid w:val="000573DA"/>
    <w:rsid w:val="000667B0"/>
    <w:rsid w:val="00073600"/>
    <w:rsid w:val="00077087"/>
    <w:rsid w:val="00083589"/>
    <w:rsid w:val="00083814"/>
    <w:rsid w:val="00086EF2"/>
    <w:rsid w:val="00087AA7"/>
    <w:rsid w:val="000951DD"/>
    <w:rsid w:val="000959AF"/>
    <w:rsid w:val="000962B1"/>
    <w:rsid w:val="000A3731"/>
    <w:rsid w:val="000B37F3"/>
    <w:rsid w:val="000B3899"/>
    <w:rsid w:val="000C11C8"/>
    <w:rsid w:val="000C13C4"/>
    <w:rsid w:val="000C32F6"/>
    <w:rsid w:val="000D193B"/>
    <w:rsid w:val="000D35C8"/>
    <w:rsid w:val="000E38FA"/>
    <w:rsid w:val="000F0582"/>
    <w:rsid w:val="000F2A9A"/>
    <w:rsid w:val="000F5CAE"/>
    <w:rsid w:val="00111442"/>
    <w:rsid w:val="00142593"/>
    <w:rsid w:val="00145012"/>
    <w:rsid w:val="001500FD"/>
    <w:rsid w:val="00152B26"/>
    <w:rsid w:val="001557E9"/>
    <w:rsid w:val="00160BCD"/>
    <w:rsid w:val="001629F1"/>
    <w:rsid w:val="00164AB3"/>
    <w:rsid w:val="00165447"/>
    <w:rsid w:val="00170419"/>
    <w:rsid w:val="00171B8C"/>
    <w:rsid w:val="00181E21"/>
    <w:rsid w:val="0018721E"/>
    <w:rsid w:val="00191908"/>
    <w:rsid w:val="00192556"/>
    <w:rsid w:val="00193124"/>
    <w:rsid w:val="001A0002"/>
    <w:rsid w:val="001A115B"/>
    <w:rsid w:val="001A1A47"/>
    <w:rsid w:val="001A20B5"/>
    <w:rsid w:val="001A3355"/>
    <w:rsid w:val="001A5FBC"/>
    <w:rsid w:val="001B1955"/>
    <w:rsid w:val="001B40EE"/>
    <w:rsid w:val="001B5DE1"/>
    <w:rsid w:val="001C188F"/>
    <w:rsid w:val="001C240A"/>
    <w:rsid w:val="001C5AA2"/>
    <w:rsid w:val="001D1180"/>
    <w:rsid w:val="001D254D"/>
    <w:rsid w:val="001D2C96"/>
    <w:rsid w:val="001F30C1"/>
    <w:rsid w:val="001F6343"/>
    <w:rsid w:val="00201EDC"/>
    <w:rsid w:val="002044C6"/>
    <w:rsid w:val="002048EC"/>
    <w:rsid w:val="00213A15"/>
    <w:rsid w:val="00224C6A"/>
    <w:rsid w:val="00226199"/>
    <w:rsid w:val="00227591"/>
    <w:rsid w:val="00234C6F"/>
    <w:rsid w:val="002351B3"/>
    <w:rsid w:val="0024123B"/>
    <w:rsid w:val="00262177"/>
    <w:rsid w:val="00272B00"/>
    <w:rsid w:val="00280153"/>
    <w:rsid w:val="00281738"/>
    <w:rsid w:val="002905D2"/>
    <w:rsid w:val="00294F47"/>
    <w:rsid w:val="00297BE0"/>
    <w:rsid w:val="002A527B"/>
    <w:rsid w:val="002A6382"/>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67CF0"/>
    <w:rsid w:val="00374196"/>
    <w:rsid w:val="00375153"/>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5788"/>
    <w:rsid w:val="00405ECD"/>
    <w:rsid w:val="00407035"/>
    <w:rsid w:val="00407671"/>
    <w:rsid w:val="004112B2"/>
    <w:rsid w:val="00411970"/>
    <w:rsid w:val="00416142"/>
    <w:rsid w:val="00423A61"/>
    <w:rsid w:val="00434483"/>
    <w:rsid w:val="00436B35"/>
    <w:rsid w:val="00437C0E"/>
    <w:rsid w:val="00446E1E"/>
    <w:rsid w:val="0044780C"/>
    <w:rsid w:val="00451D7A"/>
    <w:rsid w:val="004543DB"/>
    <w:rsid w:val="0046108E"/>
    <w:rsid w:val="0047023C"/>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365DE"/>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D59F9"/>
    <w:rsid w:val="005D6490"/>
    <w:rsid w:val="005E2861"/>
    <w:rsid w:val="005E72CC"/>
    <w:rsid w:val="005F2F15"/>
    <w:rsid w:val="005F635C"/>
    <w:rsid w:val="006154FA"/>
    <w:rsid w:val="00621DEA"/>
    <w:rsid w:val="0062321C"/>
    <w:rsid w:val="0064457B"/>
    <w:rsid w:val="00646BDF"/>
    <w:rsid w:val="006512A7"/>
    <w:rsid w:val="0065160D"/>
    <w:rsid w:val="00652D7C"/>
    <w:rsid w:val="00652FC8"/>
    <w:rsid w:val="00656574"/>
    <w:rsid w:val="0065760C"/>
    <w:rsid w:val="00657C67"/>
    <w:rsid w:val="006624C6"/>
    <w:rsid w:val="006632CF"/>
    <w:rsid w:val="006656CB"/>
    <w:rsid w:val="006711CA"/>
    <w:rsid w:val="006754C4"/>
    <w:rsid w:val="00677882"/>
    <w:rsid w:val="00681365"/>
    <w:rsid w:val="006824DB"/>
    <w:rsid w:val="00683B19"/>
    <w:rsid w:val="00693F09"/>
    <w:rsid w:val="0069449E"/>
    <w:rsid w:val="006A07E8"/>
    <w:rsid w:val="006B2136"/>
    <w:rsid w:val="006B2437"/>
    <w:rsid w:val="006B4549"/>
    <w:rsid w:val="006B5C7A"/>
    <w:rsid w:val="006B5DF0"/>
    <w:rsid w:val="006B677F"/>
    <w:rsid w:val="006D3934"/>
    <w:rsid w:val="006D429D"/>
    <w:rsid w:val="006D4C96"/>
    <w:rsid w:val="006D6AAD"/>
    <w:rsid w:val="006D7496"/>
    <w:rsid w:val="006E0F39"/>
    <w:rsid w:val="006E2D05"/>
    <w:rsid w:val="006F4613"/>
    <w:rsid w:val="007178F3"/>
    <w:rsid w:val="007240DD"/>
    <w:rsid w:val="00733272"/>
    <w:rsid w:val="00734797"/>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D7780"/>
    <w:rsid w:val="007D7FE2"/>
    <w:rsid w:val="007F29C9"/>
    <w:rsid w:val="007F4A20"/>
    <w:rsid w:val="007F6780"/>
    <w:rsid w:val="007F7F6E"/>
    <w:rsid w:val="00801511"/>
    <w:rsid w:val="00810447"/>
    <w:rsid w:val="008110BD"/>
    <w:rsid w:val="0081122C"/>
    <w:rsid w:val="0081544A"/>
    <w:rsid w:val="00817C49"/>
    <w:rsid w:val="008220C8"/>
    <w:rsid w:val="00835D83"/>
    <w:rsid w:val="00837F2F"/>
    <w:rsid w:val="00840347"/>
    <w:rsid w:val="0084161C"/>
    <w:rsid w:val="008508B9"/>
    <w:rsid w:val="008579DE"/>
    <w:rsid w:val="00862589"/>
    <w:rsid w:val="00870742"/>
    <w:rsid w:val="008907BE"/>
    <w:rsid w:val="0089386D"/>
    <w:rsid w:val="0089600E"/>
    <w:rsid w:val="008A2CE1"/>
    <w:rsid w:val="008B36DB"/>
    <w:rsid w:val="008B63CE"/>
    <w:rsid w:val="008D2958"/>
    <w:rsid w:val="008D5785"/>
    <w:rsid w:val="008E7662"/>
    <w:rsid w:val="008F52C3"/>
    <w:rsid w:val="008F67D2"/>
    <w:rsid w:val="008F7821"/>
    <w:rsid w:val="009023FC"/>
    <w:rsid w:val="00902783"/>
    <w:rsid w:val="00912616"/>
    <w:rsid w:val="00913099"/>
    <w:rsid w:val="009154C8"/>
    <w:rsid w:val="009170FC"/>
    <w:rsid w:val="00933324"/>
    <w:rsid w:val="00935FAB"/>
    <w:rsid w:val="00940CC7"/>
    <w:rsid w:val="00946C6C"/>
    <w:rsid w:val="00947E55"/>
    <w:rsid w:val="009522CA"/>
    <w:rsid w:val="00953349"/>
    <w:rsid w:val="00955724"/>
    <w:rsid w:val="00962538"/>
    <w:rsid w:val="00973A36"/>
    <w:rsid w:val="00980016"/>
    <w:rsid w:val="00983C2D"/>
    <w:rsid w:val="009916F6"/>
    <w:rsid w:val="009968D1"/>
    <w:rsid w:val="00997F03"/>
    <w:rsid w:val="009A5BFD"/>
    <w:rsid w:val="009B53E8"/>
    <w:rsid w:val="009B6FC3"/>
    <w:rsid w:val="009C550B"/>
    <w:rsid w:val="009C5E89"/>
    <w:rsid w:val="009D450D"/>
    <w:rsid w:val="009E2EB8"/>
    <w:rsid w:val="009E4137"/>
    <w:rsid w:val="009F340E"/>
    <w:rsid w:val="00A030E0"/>
    <w:rsid w:val="00A04D35"/>
    <w:rsid w:val="00A11378"/>
    <w:rsid w:val="00A21186"/>
    <w:rsid w:val="00A27C04"/>
    <w:rsid w:val="00A31945"/>
    <w:rsid w:val="00A34D18"/>
    <w:rsid w:val="00A36D7F"/>
    <w:rsid w:val="00A37942"/>
    <w:rsid w:val="00A419AE"/>
    <w:rsid w:val="00A41BB8"/>
    <w:rsid w:val="00A41FB6"/>
    <w:rsid w:val="00A42A80"/>
    <w:rsid w:val="00A461C2"/>
    <w:rsid w:val="00A46533"/>
    <w:rsid w:val="00A530A9"/>
    <w:rsid w:val="00A62612"/>
    <w:rsid w:val="00A72172"/>
    <w:rsid w:val="00A803F8"/>
    <w:rsid w:val="00A81D84"/>
    <w:rsid w:val="00A82665"/>
    <w:rsid w:val="00A87394"/>
    <w:rsid w:val="00A87713"/>
    <w:rsid w:val="00A910EE"/>
    <w:rsid w:val="00A9196F"/>
    <w:rsid w:val="00A924FA"/>
    <w:rsid w:val="00A953FC"/>
    <w:rsid w:val="00A95F73"/>
    <w:rsid w:val="00A96C6E"/>
    <w:rsid w:val="00A9757B"/>
    <w:rsid w:val="00AA2851"/>
    <w:rsid w:val="00AA3663"/>
    <w:rsid w:val="00AA3D50"/>
    <w:rsid w:val="00AB0E28"/>
    <w:rsid w:val="00AB0F41"/>
    <w:rsid w:val="00AB3AA5"/>
    <w:rsid w:val="00AC1B1F"/>
    <w:rsid w:val="00AC2D77"/>
    <w:rsid w:val="00AC452F"/>
    <w:rsid w:val="00AD2E87"/>
    <w:rsid w:val="00AD6E3C"/>
    <w:rsid w:val="00AE030B"/>
    <w:rsid w:val="00AE03A0"/>
    <w:rsid w:val="00AE0A3D"/>
    <w:rsid w:val="00AE5493"/>
    <w:rsid w:val="00AE7630"/>
    <w:rsid w:val="00AF2D14"/>
    <w:rsid w:val="00AF7379"/>
    <w:rsid w:val="00B045A8"/>
    <w:rsid w:val="00B045C9"/>
    <w:rsid w:val="00B06A68"/>
    <w:rsid w:val="00B16E47"/>
    <w:rsid w:val="00B170F3"/>
    <w:rsid w:val="00B23956"/>
    <w:rsid w:val="00B25149"/>
    <w:rsid w:val="00B269D2"/>
    <w:rsid w:val="00B30C16"/>
    <w:rsid w:val="00B42E7B"/>
    <w:rsid w:val="00B43D90"/>
    <w:rsid w:val="00B468E5"/>
    <w:rsid w:val="00B51DC1"/>
    <w:rsid w:val="00B55ABE"/>
    <w:rsid w:val="00B7129D"/>
    <w:rsid w:val="00B728EF"/>
    <w:rsid w:val="00B74B0D"/>
    <w:rsid w:val="00B77DEB"/>
    <w:rsid w:val="00B96DE7"/>
    <w:rsid w:val="00BA00B5"/>
    <w:rsid w:val="00BA06D4"/>
    <w:rsid w:val="00BA636B"/>
    <w:rsid w:val="00BC53BD"/>
    <w:rsid w:val="00BC768E"/>
    <w:rsid w:val="00BD502E"/>
    <w:rsid w:val="00BE5E0D"/>
    <w:rsid w:val="00BF3A1D"/>
    <w:rsid w:val="00BF4E15"/>
    <w:rsid w:val="00C0253C"/>
    <w:rsid w:val="00C10CF1"/>
    <w:rsid w:val="00C139D7"/>
    <w:rsid w:val="00C1711C"/>
    <w:rsid w:val="00C20E9D"/>
    <w:rsid w:val="00C25AE4"/>
    <w:rsid w:val="00C27C0D"/>
    <w:rsid w:val="00C44CE1"/>
    <w:rsid w:val="00C4710B"/>
    <w:rsid w:val="00C52405"/>
    <w:rsid w:val="00C52C59"/>
    <w:rsid w:val="00C52CC5"/>
    <w:rsid w:val="00C603A8"/>
    <w:rsid w:val="00C607A0"/>
    <w:rsid w:val="00C63126"/>
    <w:rsid w:val="00C70E4F"/>
    <w:rsid w:val="00C7439F"/>
    <w:rsid w:val="00C80DEE"/>
    <w:rsid w:val="00C849CB"/>
    <w:rsid w:val="00C93533"/>
    <w:rsid w:val="00CA28A9"/>
    <w:rsid w:val="00CA5B5A"/>
    <w:rsid w:val="00CA7399"/>
    <w:rsid w:val="00CA7495"/>
    <w:rsid w:val="00CA7D04"/>
    <w:rsid w:val="00CC1968"/>
    <w:rsid w:val="00CD01F1"/>
    <w:rsid w:val="00CD06B0"/>
    <w:rsid w:val="00CD0D2F"/>
    <w:rsid w:val="00CD462E"/>
    <w:rsid w:val="00CE32A7"/>
    <w:rsid w:val="00CE3313"/>
    <w:rsid w:val="00CF5FCA"/>
    <w:rsid w:val="00CF7A4A"/>
    <w:rsid w:val="00D11F9C"/>
    <w:rsid w:val="00D137AD"/>
    <w:rsid w:val="00D14BE2"/>
    <w:rsid w:val="00D20CD5"/>
    <w:rsid w:val="00D20DE5"/>
    <w:rsid w:val="00D21D40"/>
    <w:rsid w:val="00D31964"/>
    <w:rsid w:val="00D31FFE"/>
    <w:rsid w:val="00D40378"/>
    <w:rsid w:val="00D569CD"/>
    <w:rsid w:val="00D56A48"/>
    <w:rsid w:val="00D570F2"/>
    <w:rsid w:val="00D65C35"/>
    <w:rsid w:val="00D669FC"/>
    <w:rsid w:val="00D76FB8"/>
    <w:rsid w:val="00D866A2"/>
    <w:rsid w:val="00D905E4"/>
    <w:rsid w:val="00D92080"/>
    <w:rsid w:val="00D9338F"/>
    <w:rsid w:val="00D94E6C"/>
    <w:rsid w:val="00D95D0D"/>
    <w:rsid w:val="00D96F3D"/>
    <w:rsid w:val="00DA0733"/>
    <w:rsid w:val="00DA13F6"/>
    <w:rsid w:val="00DA7A7D"/>
    <w:rsid w:val="00DB2739"/>
    <w:rsid w:val="00DC3AA8"/>
    <w:rsid w:val="00DC7BF6"/>
    <w:rsid w:val="00DF0EF4"/>
    <w:rsid w:val="00DF30C9"/>
    <w:rsid w:val="00DF330D"/>
    <w:rsid w:val="00E1186E"/>
    <w:rsid w:val="00E13BC6"/>
    <w:rsid w:val="00E140D0"/>
    <w:rsid w:val="00E1629D"/>
    <w:rsid w:val="00E202C2"/>
    <w:rsid w:val="00E20BDB"/>
    <w:rsid w:val="00E21F2E"/>
    <w:rsid w:val="00E2664B"/>
    <w:rsid w:val="00E31686"/>
    <w:rsid w:val="00E4211A"/>
    <w:rsid w:val="00E4567A"/>
    <w:rsid w:val="00E459C2"/>
    <w:rsid w:val="00E46D79"/>
    <w:rsid w:val="00E52331"/>
    <w:rsid w:val="00E61D38"/>
    <w:rsid w:val="00E6637B"/>
    <w:rsid w:val="00E66CAC"/>
    <w:rsid w:val="00E76B38"/>
    <w:rsid w:val="00E77E7A"/>
    <w:rsid w:val="00E911AD"/>
    <w:rsid w:val="00E9229F"/>
    <w:rsid w:val="00E94167"/>
    <w:rsid w:val="00E9423B"/>
    <w:rsid w:val="00E95DB4"/>
    <w:rsid w:val="00EA0E25"/>
    <w:rsid w:val="00EA2226"/>
    <w:rsid w:val="00EB0943"/>
    <w:rsid w:val="00EC2D39"/>
    <w:rsid w:val="00EC3930"/>
    <w:rsid w:val="00ED3C01"/>
    <w:rsid w:val="00ED6F02"/>
    <w:rsid w:val="00EF3155"/>
    <w:rsid w:val="00F0418C"/>
    <w:rsid w:val="00F0674E"/>
    <w:rsid w:val="00F11288"/>
    <w:rsid w:val="00F11BC3"/>
    <w:rsid w:val="00F121F9"/>
    <w:rsid w:val="00F165AC"/>
    <w:rsid w:val="00F20863"/>
    <w:rsid w:val="00F20E96"/>
    <w:rsid w:val="00F216E0"/>
    <w:rsid w:val="00F243ED"/>
    <w:rsid w:val="00F27347"/>
    <w:rsid w:val="00F3107D"/>
    <w:rsid w:val="00F32B2F"/>
    <w:rsid w:val="00F34DEC"/>
    <w:rsid w:val="00F42A12"/>
    <w:rsid w:val="00F44E2B"/>
    <w:rsid w:val="00F45146"/>
    <w:rsid w:val="00F5206B"/>
    <w:rsid w:val="00F53A24"/>
    <w:rsid w:val="00F54F60"/>
    <w:rsid w:val="00F55503"/>
    <w:rsid w:val="00F63CAC"/>
    <w:rsid w:val="00F66B96"/>
    <w:rsid w:val="00F779A3"/>
    <w:rsid w:val="00F82169"/>
    <w:rsid w:val="00F82C0D"/>
    <w:rsid w:val="00F83A95"/>
    <w:rsid w:val="00F83E62"/>
    <w:rsid w:val="00F854E1"/>
    <w:rsid w:val="00F92D6E"/>
    <w:rsid w:val="00F93198"/>
    <w:rsid w:val="00F95A64"/>
    <w:rsid w:val="00FA0A88"/>
    <w:rsid w:val="00FB0DB0"/>
    <w:rsid w:val="00FB6ADD"/>
    <w:rsid w:val="00FC390B"/>
    <w:rsid w:val="00FD1398"/>
    <w:rsid w:val="00FD1A0B"/>
    <w:rsid w:val="00FD2A81"/>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 w:type="paragraph" w:customStyle="1" w:styleId="Body">
    <w:name w:val="Body"/>
    <w:rsid w:val="00087AA7"/>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00BDAC-F6CA-4047-AA87-0CEE01020BB7}"/>
</file>

<file path=customXml/itemProps2.xml><?xml version="1.0" encoding="utf-8"?>
<ds:datastoreItem xmlns:ds="http://schemas.openxmlformats.org/officeDocument/2006/customXml" ds:itemID="{801452EB-B529-45EA-A4BB-1870606B61FD}"/>
</file>

<file path=customXml/itemProps3.xml><?xml version="1.0" encoding="utf-8"?>
<ds:datastoreItem xmlns:ds="http://schemas.openxmlformats.org/officeDocument/2006/customXml" ds:itemID="{2BFE79E7-8A0C-4A44-9D0E-15888F601998}"/>
</file>

<file path=docProps/app.xml><?xml version="1.0" encoding="utf-8"?>
<Properties xmlns="http://schemas.openxmlformats.org/officeDocument/2006/extended-properties" xmlns:vt="http://schemas.openxmlformats.org/officeDocument/2006/docPropsVTypes">
  <Template>Normal.dotm</Template>
  <TotalTime>148</TotalTime>
  <Pages>12</Pages>
  <Words>1600</Words>
  <Characters>9122</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Israel Journal of Social Policy 120</vt:lpstr>
      <vt:lpstr>Israel Journal of Social Policy 116</vt:lpstr>
    </vt:vector>
  </TitlesOfParts>
  <Company>Onit Computer Services Ltd</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120</dc:title>
  <dc:creator>Mordechai Frankel</dc:creator>
  <cp:lastModifiedBy>שולמית פרנקל</cp:lastModifiedBy>
  <cp:revision>57</cp:revision>
  <cp:lastPrinted>2023-09-09T18:14:00Z</cp:lastPrinted>
  <dcterms:created xsi:type="dcterms:W3CDTF">2022-10-06T10:26:00Z</dcterms:created>
  <dcterms:modified xsi:type="dcterms:W3CDTF">2024-12-10T07:22:00Z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1391341429</vt:i4>
  </property>
  <property fmtid="{D5CDD505-2E9C-101B-9397-08002B2CF9AE}" pid="3" name="_NewReviewCycle">
    <vt:lpwstr/>
  </property>
  <property fmtid="{D5CDD505-2E9C-101B-9397-08002B2CF9AE}" pid="4" name="_EmailSubject">
    <vt:lpwstr>ביטחון סוציאלי </vt:lpwstr>
  </property>
  <property fmtid="{D5CDD505-2E9C-101B-9397-08002B2CF9AE}" pid="5" name="_AuthorEmail">
    <vt:lpwstr>eliav_am@snifim.blroot</vt:lpwstr>
  </property>
  <property fmtid="{D5CDD505-2E9C-101B-9397-08002B2CF9AE}" pid="6" name="_AuthorEmailDisplayName">
    <vt:lpwstr>אליאב אמסלם</vt:lpwstr>
  </property>
  <property fmtid="{D5CDD505-2E9C-101B-9397-08002B2CF9AE}" pid="7" name="_ReviewingToolsShownOnce">
    <vt:lpwstr/>
  </property>
  <property fmtid="{D5CDD505-2E9C-101B-9397-08002B2CF9AE}" pid="8" name="ContentTypeId">
    <vt:lpwstr>0x0101005472649C3F1A584ABED4F413A1EF26B2</vt:lpwstr>
  </property>
  <property fmtid="{D5CDD505-2E9C-101B-9397-08002B2CF9AE}" pid="9" name="Order">
    <vt:r8>1900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