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C292C" w14:textId="1B65D4CF" w:rsidR="00477056" w:rsidRPr="00477056" w:rsidRDefault="00477056" w:rsidP="00477056">
      <w:pPr>
        <w:pStyle w:val="NAME"/>
        <w:pBdr>
          <w:bottom w:val="none" w:sz="0" w:space="0" w:color="auto"/>
        </w:pBdr>
        <w:spacing w:before="1080" w:after="300" w:line="360" w:lineRule="atLeast"/>
        <w:jc w:val="left"/>
        <w:rPr>
          <w:rFonts w:ascii="Tahoma" w:hAnsi="Tahoma" w:cs="Guttman Aharoni"/>
          <w:b/>
          <w:bCs/>
          <w:color w:val="2A8E8C"/>
          <w:sz w:val="36"/>
          <w:szCs w:val="36"/>
          <w:rtl/>
        </w:rPr>
      </w:pPr>
      <w:bookmarkStart w:id="0" w:name="_Toc127465304"/>
      <w:r w:rsidRPr="00477056">
        <w:rPr>
          <w:rFonts w:ascii="Tahoma" w:hAnsi="Tahoma" w:cs="Guttman Aharoni" w:hint="cs"/>
          <w:b/>
          <w:bCs/>
          <w:color w:val="2A8E8C"/>
          <w:sz w:val="36"/>
          <w:szCs w:val="36"/>
          <w:rtl/>
        </w:rPr>
        <w:t>התמקחות מתוך השוליים: עבודה סוציאלית עם אנשים בעוני בחברה הערבית</w:t>
      </w:r>
      <w:r w:rsidRPr="00477056">
        <w:rPr>
          <w:rFonts w:ascii="David" w:hAnsi="David"/>
          <w:b/>
          <w:bCs/>
          <w:color w:val="2A8E8C"/>
          <w:sz w:val="36"/>
          <w:szCs w:val="36"/>
          <w:rtl/>
        </w:rPr>
        <w:t>-</w:t>
      </w:r>
      <w:r w:rsidRPr="00477056">
        <w:rPr>
          <w:rFonts w:ascii="Tahoma" w:hAnsi="Tahoma" w:cs="Guttman Aharoni" w:hint="cs"/>
          <w:b/>
          <w:bCs/>
          <w:color w:val="2A8E8C"/>
          <w:sz w:val="36"/>
          <w:szCs w:val="36"/>
          <w:rtl/>
        </w:rPr>
        <w:t>פלסטינית בישראל</w:t>
      </w:r>
    </w:p>
    <w:p w14:paraId="3E143F12" w14:textId="77777777" w:rsidR="00477056" w:rsidRPr="00477056" w:rsidRDefault="00477056" w:rsidP="00477056">
      <w:pPr>
        <w:pStyle w:val="KOT5T"/>
        <w:spacing w:after="540" w:line="360" w:lineRule="exact"/>
        <w:ind w:right="0"/>
        <w:jc w:val="left"/>
        <w:rPr>
          <w:rFonts w:cs="Guttman Aharoni"/>
          <w:color w:val="2A8E8C"/>
          <w:rtl/>
        </w:rPr>
      </w:pPr>
      <w:proofErr w:type="spellStart"/>
      <w:r w:rsidRPr="00477056">
        <w:rPr>
          <w:rFonts w:cs="Guttman Aharoni"/>
          <w:color w:val="2A8E8C"/>
          <w:rtl/>
        </w:rPr>
        <w:t>אנשיראח</w:t>
      </w:r>
      <w:proofErr w:type="spellEnd"/>
      <w:r w:rsidRPr="00477056">
        <w:rPr>
          <w:rFonts w:cs="Guttman Aharoni"/>
          <w:color w:val="2A8E8C"/>
          <w:rtl/>
        </w:rPr>
        <w:t xml:space="preserve"> </w:t>
      </w:r>
      <w:proofErr w:type="spellStart"/>
      <w:r w:rsidRPr="00477056">
        <w:rPr>
          <w:rFonts w:cs="Guttman Aharoni"/>
          <w:color w:val="2A8E8C"/>
          <w:rtl/>
        </w:rPr>
        <w:t>ח'ורי</w:t>
      </w:r>
      <w:proofErr w:type="spellEnd"/>
      <w:r w:rsidRPr="00477056">
        <w:rPr>
          <w:rFonts w:cs="Guttman Aharoni"/>
          <w:color w:val="2A8E8C"/>
          <w:vertAlign w:val="superscript"/>
          <w:rtl/>
        </w:rPr>
        <w:footnoteReference w:id="2"/>
      </w:r>
      <w:r w:rsidRPr="00477056">
        <w:rPr>
          <w:rFonts w:cs="Guttman Aharoni"/>
          <w:color w:val="2A8E8C"/>
          <w:rtl/>
        </w:rPr>
        <w:t xml:space="preserve">, מיכל </w:t>
      </w:r>
      <w:proofErr w:type="spellStart"/>
      <w:r w:rsidRPr="00477056">
        <w:rPr>
          <w:rFonts w:cs="Guttman Aharoni"/>
          <w:color w:val="2A8E8C"/>
          <w:rtl/>
        </w:rPr>
        <w:t>קרומר</w:t>
      </w:r>
      <w:proofErr w:type="spellEnd"/>
      <w:r w:rsidRPr="00477056">
        <w:rPr>
          <w:rFonts w:ascii="David" w:hAnsi="David" w:cs="David"/>
          <w:color w:val="2A8E8C"/>
          <w:rtl/>
        </w:rPr>
        <w:t>-</w:t>
      </w:r>
      <w:r w:rsidRPr="00477056">
        <w:rPr>
          <w:rFonts w:cs="Guttman Aharoni"/>
          <w:color w:val="2A8E8C"/>
          <w:rtl/>
        </w:rPr>
        <w:t>נבו</w:t>
      </w:r>
      <w:r w:rsidRPr="00477056">
        <w:rPr>
          <w:rFonts w:cs="Guttman Aharoni"/>
          <w:color w:val="2A8E8C"/>
          <w:vertAlign w:val="superscript"/>
          <w:rtl/>
        </w:rPr>
        <w:footnoteReference w:id="3"/>
      </w:r>
      <w:r w:rsidRPr="00477056" w:rsidDel="00C1768E">
        <w:rPr>
          <w:rFonts w:cs="Guttman Aharoni"/>
          <w:color w:val="2A8E8C"/>
          <w:rtl/>
        </w:rPr>
        <w:t xml:space="preserve"> </w:t>
      </w:r>
      <w:r w:rsidRPr="00477056">
        <w:rPr>
          <w:rFonts w:cs="Guttman Aharoni"/>
          <w:color w:val="2A8E8C"/>
          <w:rtl/>
        </w:rPr>
        <w:t>ולימור לוטן</w:t>
      </w:r>
      <w:r w:rsidRPr="00477056">
        <w:rPr>
          <w:rFonts w:cs="Guttman Aharoni"/>
          <w:color w:val="2A8E8C"/>
          <w:vertAlign w:val="superscript"/>
          <w:rtl/>
        </w:rPr>
        <w:footnoteReference w:id="4"/>
      </w:r>
    </w:p>
    <w:p w14:paraId="29C47752" w14:textId="3E82D830" w:rsidR="00477056" w:rsidRPr="00477056" w:rsidRDefault="00477056" w:rsidP="006B6B4A">
      <w:pPr>
        <w:spacing w:after="180" w:line="280" w:lineRule="exact"/>
        <w:jc w:val="both"/>
        <w:rPr>
          <w:rFonts w:ascii="Georgia" w:eastAsia="Calibri" w:hAnsi="Georgia"/>
          <w:sz w:val="18"/>
          <w:szCs w:val="20"/>
          <w:rtl/>
        </w:rPr>
      </w:pPr>
      <w:r w:rsidRPr="00477056">
        <w:rPr>
          <w:rFonts w:ascii="Georgia" w:eastAsia="Calibri" w:hAnsi="Georgia"/>
          <w:sz w:val="18"/>
          <w:szCs w:val="20"/>
          <w:rtl/>
        </w:rPr>
        <w:t xml:space="preserve">מחקרנו מתמקד באתגרים הניצבים בפני עובדות ועובדים סוציאליים אשר עובדים עם משפחות בעוני מהחברה הערבית-פלסטינית בישראל, </w:t>
      </w:r>
      <w:proofErr w:type="spellStart"/>
      <w:r w:rsidRPr="00477056">
        <w:rPr>
          <w:rFonts w:ascii="Georgia" w:eastAsia="Calibri" w:hAnsi="Georgia"/>
          <w:sz w:val="18"/>
          <w:szCs w:val="20"/>
          <w:rtl/>
        </w:rPr>
        <w:t>ובפרקטיקות</w:t>
      </w:r>
      <w:proofErr w:type="spellEnd"/>
      <w:r w:rsidRPr="00477056">
        <w:rPr>
          <w:rFonts w:ascii="Georgia" w:eastAsia="Calibri" w:hAnsi="Georgia"/>
          <w:sz w:val="18"/>
          <w:szCs w:val="20"/>
          <w:rtl/>
        </w:rPr>
        <w:t xml:space="preserve"> שהם נוקטים. אנו מאמצות פרספקטיבה של רגישות תרבותית ביקורתית אשר מאפשרת לזהות את האופן שבו היבטים חברתיים, פוליטיים, וכלכליים מעצבים את מציאות החיים במפגש עם היבטים תרבותיים. למחקר 3 מטרות: (1) לתאר את האתגרים העומדים בפני עובדות ועובדים סוציאליים בחברה הערבית ואת הגורמים המעצבים אותם; (2) לתאר את </w:t>
      </w:r>
      <w:proofErr w:type="spellStart"/>
      <w:r w:rsidRPr="00477056">
        <w:rPr>
          <w:rFonts w:ascii="Georgia" w:eastAsia="Calibri" w:hAnsi="Georgia"/>
          <w:sz w:val="18"/>
          <w:szCs w:val="20"/>
          <w:rtl/>
        </w:rPr>
        <w:t>הפרקטיקות</w:t>
      </w:r>
      <w:proofErr w:type="spellEnd"/>
      <w:r w:rsidRPr="00477056">
        <w:rPr>
          <w:rFonts w:ascii="Georgia" w:eastAsia="Calibri" w:hAnsi="Georgia"/>
          <w:sz w:val="18"/>
          <w:szCs w:val="20"/>
          <w:rtl/>
        </w:rPr>
        <w:t xml:space="preserve"> שעובדות ועובדים סוציאליים נוקטים כדי להתמודד עם אתגרים אלה; (3) להבחין בין המשותף לעבודה הסוציאלית בכלל החברה הישראלית לבין הייחודי לעבודה עם פונים מהחברה הערבית. שיטת המחקר היא ניתוח תמטי של 51 ראיונות מובנים למחצה עם נשות ואנשי מקצוע, רובם מהחברה הערבית, ב-5 מחלקות לשירותים חברתיים. המחלקות משקפות מגוון של יישובים – כפר מעורב מוסלמי-נוצרי, כפר בדואי, יישוב גדול מעורב מוסלמי-נוצרי-דרוזי, יישוב גדול מוסלמי, ועיר מעורבת יהודית-ערבית. מן הממצאים עולה כי המרואיינות</w:t>
      </w:r>
      <w:r w:rsidRPr="00477056">
        <w:rPr>
          <w:rStyle w:val="FootnoteReference"/>
          <w:rFonts w:ascii="Georgia" w:eastAsia="Calibri" w:hAnsi="Georgia"/>
          <w:sz w:val="18"/>
          <w:szCs w:val="20"/>
          <w:rtl/>
        </w:rPr>
        <w:footnoteReference w:id="5"/>
      </w:r>
      <w:r w:rsidRPr="00477056">
        <w:rPr>
          <w:rFonts w:ascii="Georgia" w:eastAsia="Calibri" w:hAnsi="Georgia"/>
          <w:sz w:val="18"/>
          <w:szCs w:val="20"/>
          <w:rtl/>
        </w:rPr>
        <w:t xml:space="preserve"> התמודדו עם אתגרים המשותפים לעבודה עם משפחות בעוני מכלל החברה הישראלית, דוגמת קושי להיענות לצרכים חומריים וקושי להציע פרשנות אמפתית </w:t>
      </w:r>
      <w:r w:rsidRPr="00477056">
        <w:rPr>
          <w:rFonts w:ascii="Georgia" w:eastAsia="Calibri" w:hAnsi="Georgia"/>
          <w:sz w:val="18"/>
          <w:szCs w:val="20"/>
          <w:rtl/>
        </w:rPr>
        <w:lastRenderedPageBreak/>
        <w:t>להתנהגויות של פונים שנתפסו כלא יעילות. לצד זאת הן התמודדו עם אתגרים ייחודיים: מחסור חריף בהזדמנויות תעסוקה, מחסור בשירותי טיפול מותאמים לצורכי החברה הערבית, ומחסור בכלים לסיוע לאנשים חסרי מעמד וחסרי זכויות. את האתגרים הייחודיים הללו מעצבים הקשרים חברתיים, פוליטיים ותרבותיים ש</w:t>
      </w:r>
      <w:r w:rsidR="006B6B4A">
        <w:rPr>
          <w:rFonts w:ascii="Georgia" w:eastAsia="Calibri" w:hAnsi="Georgia" w:hint="cs"/>
          <w:sz w:val="18"/>
          <w:szCs w:val="20"/>
          <w:rtl/>
        </w:rPr>
        <w:t>החברה הערבית נתונה בהם</w:t>
      </w:r>
      <w:r w:rsidRPr="00477056">
        <w:rPr>
          <w:rFonts w:ascii="Georgia" w:eastAsia="Calibri" w:hAnsi="Georgia"/>
          <w:sz w:val="18"/>
          <w:szCs w:val="20"/>
          <w:rtl/>
        </w:rPr>
        <w:t xml:space="preserve">. עוד מצאנו כי אף שמרבית המרואיינות משתייכות לחברה הערבית, הן רואות את עצמן חלק מתרבות שונה מזו של הפונים אליהן, בעיקר בכל הנוגע לנורמות התנהגות פטריארכליות. אל מול מכלול האתגרים, העובדות הסוציאליות נוקטות </w:t>
      </w:r>
      <w:proofErr w:type="spellStart"/>
      <w:r w:rsidRPr="00477056">
        <w:rPr>
          <w:rFonts w:ascii="Georgia" w:eastAsia="Calibri" w:hAnsi="Georgia"/>
          <w:sz w:val="18"/>
          <w:szCs w:val="20"/>
          <w:rtl/>
        </w:rPr>
        <w:t>פרקטיקות</w:t>
      </w:r>
      <w:proofErr w:type="spellEnd"/>
      <w:r w:rsidRPr="00477056">
        <w:rPr>
          <w:rFonts w:ascii="Georgia" w:eastAsia="Calibri" w:hAnsi="Georgia"/>
          <w:sz w:val="18"/>
          <w:szCs w:val="20"/>
          <w:rtl/>
        </w:rPr>
        <w:t xml:space="preserve"> המבוססות על רגישות למאפיינים התרבותיים של הפונים, תוך כדי התמקחות מתמשכת עם גורמי סמכות מוסדיים ועם נורמות פטריארכליות. מסקנת המחקר היא כי האתגרים הייחודיים העומדים בפני עובדות סוציאליות מושפעים מהבעיות המבניות של עוני בחברה הערבית. נראה שלצד הרגישות התרבותית שמגלות המרואיינות יש צורך בשינויים מבניים במצבה של החברה הערבית. כן יש צורך לסייע לעובדות הסוציאליות לפתח מודעות להשפעתם של הדרה ו</w:t>
      </w:r>
      <w:r w:rsidR="000F1BEB">
        <w:rPr>
          <w:rFonts w:ascii="Georgia" w:eastAsia="Calibri" w:hAnsi="Georgia" w:hint="cs"/>
          <w:sz w:val="18"/>
          <w:szCs w:val="20"/>
          <w:rtl/>
        </w:rPr>
        <w:t xml:space="preserve">של </w:t>
      </w:r>
      <w:r w:rsidRPr="00477056">
        <w:rPr>
          <w:rFonts w:ascii="Georgia" w:eastAsia="Calibri" w:hAnsi="Georgia"/>
          <w:sz w:val="18"/>
          <w:szCs w:val="20"/>
          <w:rtl/>
        </w:rPr>
        <w:t xml:space="preserve">גורמים חברתיים-מבניים על התנהלות הפונים אליהן. </w:t>
      </w:r>
    </w:p>
    <w:p w14:paraId="71226033" w14:textId="77777777" w:rsidR="00477056" w:rsidRPr="00477056" w:rsidRDefault="00477056" w:rsidP="004F6698">
      <w:pPr>
        <w:spacing w:line="280" w:lineRule="exact"/>
        <w:jc w:val="both"/>
        <w:rPr>
          <w:rFonts w:ascii="Georgia" w:hAnsi="Georgia"/>
          <w:b/>
          <w:bCs/>
          <w:sz w:val="18"/>
          <w:szCs w:val="20"/>
          <w:rtl/>
        </w:rPr>
      </w:pPr>
    </w:p>
    <w:p w14:paraId="4ED17572" w14:textId="77777777" w:rsidR="00477056" w:rsidRPr="00477056" w:rsidRDefault="00477056" w:rsidP="00477056">
      <w:pPr>
        <w:spacing w:after="180" w:line="280" w:lineRule="exact"/>
        <w:jc w:val="both"/>
        <w:rPr>
          <w:rFonts w:ascii="Georgia" w:hAnsi="Georgia"/>
          <w:b/>
          <w:bCs/>
          <w:sz w:val="18"/>
          <w:szCs w:val="20"/>
          <w:rtl/>
        </w:rPr>
      </w:pPr>
      <w:r w:rsidRPr="00477056">
        <w:rPr>
          <w:rFonts w:ascii="Georgia" w:hAnsi="Georgia"/>
          <w:b/>
          <w:bCs/>
          <w:sz w:val="18"/>
          <w:szCs w:val="20"/>
          <w:rtl/>
        </w:rPr>
        <w:t xml:space="preserve">מילות מפתח: </w:t>
      </w:r>
      <w:r w:rsidRPr="00477056">
        <w:rPr>
          <w:rFonts w:ascii="Georgia" w:hAnsi="Georgia"/>
          <w:sz w:val="18"/>
          <w:szCs w:val="20"/>
          <w:rtl/>
        </w:rPr>
        <w:t>עוני, חברה ערבית, רגישות תרבותית, עבודה סוציאלית מודעת-עוני, פרקטיקה</w:t>
      </w:r>
    </w:p>
    <w:p w14:paraId="36BE36B1" w14:textId="77777777" w:rsidR="004F6698" w:rsidRPr="004F6698" w:rsidRDefault="004F6698" w:rsidP="004F6698">
      <w:pPr>
        <w:spacing w:line="280" w:lineRule="exact"/>
        <w:jc w:val="both"/>
        <w:rPr>
          <w:rFonts w:ascii="Georgia" w:hAnsi="Georgia"/>
          <w:sz w:val="18"/>
          <w:szCs w:val="20"/>
          <w:rtl/>
        </w:rPr>
      </w:pPr>
    </w:p>
    <w:p w14:paraId="54936610" w14:textId="77777777" w:rsidR="00477056" w:rsidRPr="004F6698" w:rsidRDefault="00477056" w:rsidP="004F6698">
      <w:pPr>
        <w:spacing w:line="280" w:lineRule="exact"/>
        <w:jc w:val="both"/>
        <w:rPr>
          <w:rFonts w:ascii="Georgia" w:hAnsi="Georgia"/>
          <w:sz w:val="18"/>
          <w:szCs w:val="20"/>
          <w:rtl/>
        </w:rPr>
      </w:pPr>
    </w:p>
    <w:p w14:paraId="35BF50E0" w14:textId="16F38E07" w:rsidR="00477056" w:rsidRPr="00477056" w:rsidRDefault="00477056" w:rsidP="00477056">
      <w:pPr>
        <w:pStyle w:val="KOT4"/>
        <w:spacing w:after="0"/>
        <w:ind w:left="397" w:right="0" w:hanging="397"/>
        <w:rPr>
          <w:rFonts w:cs="Guttman Aharoni"/>
          <w:color w:val="2A8E8C"/>
          <w:sz w:val="32"/>
          <w:szCs w:val="32"/>
          <w:rtl/>
        </w:rPr>
      </w:pPr>
      <w:r w:rsidRPr="00477056">
        <w:rPr>
          <w:rFonts w:cs="Guttman Aharoni"/>
          <w:color w:val="2A8E8C"/>
          <w:sz w:val="32"/>
          <w:szCs w:val="32"/>
          <w:rtl/>
        </w:rPr>
        <w:t xml:space="preserve">מבוא </w:t>
      </w:r>
    </w:p>
    <w:p w14:paraId="078E6BC8"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אימוץ הפרדיגמה של עבודה סוציאלית מודעת-עוני על ידי משרד הרווחה והביטחון החברתי בשנת 2015 (</w:t>
      </w:r>
      <w:proofErr w:type="spellStart"/>
      <w:r w:rsidRPr="00477056">
        <w:rPr>
          <w:rFonts w:ascii="Georgia" w:hAnsi="Georgia"/>
          <w:sz w:val="18"/>
          <w:szCs w:val="20"/>
          <w:rtl/>
        </w:rPr>
        <w:t>קרומר</w:t>
      </w:r>
      <w:proofErr w:type="spellEnd"/>
      <w:r w:rsidRPr="00477056">
        <w:rPr>
          <w:rFonts w:ascii="Georgia" w:hAnsi="Georgia"/>
          <w:sz w:val="18"/>
          <w:szCs w:val="20"/>
          <w:rtl/>
        </w:rPr>
        <w:t>-נבו ואח', 2019) כלל, בין היתר, קורסי הכשרה למנהלי מחלקות לשירותים חברתיים (</w:t>
      </w:r>
      <w:proofErr w:type="spellStart"/>
      <w:r w:rsidRPr="00477056">
        <w:rPr>
          <w:rFonts w:ascii="Georgia" w:hAnsi="Georgia"/>
          <w:sz w:val="18"/>
          <w:szCs w:val="20"/>
          <w:rtl/>
        </w:rPr>
        <w:t>מש"חים</w:t>
      </w:r>
      <w:proofErr w:type="spellEnd"/>
      <w:r w:rsidRPr="00477056">
        <w:rPr>
          <w:rFonts w:ascii="Georgia" w:hAnsi="Georgia"/>
          <w:sz w:val="18"/>
          <w:szCs w:val="20"/>
          <w:rtl/>
        </w:rPr>
        <w:t xml:space="preserve">). באחד הקורסים האלה טענו מנהלי </w:t>
      </w:r>
      <w:proofErr w:type="spellStart"/>
      <w:r w:rsidRPr="00477056">
        <w:rPr>
          <w:rFonts w:ascii="Georgia" w:hAnsi="Georgia"/>
          <w:sz w:val="18"/>
          <w:szCs w:val="20"/>
          <w:rtl/>
        </w:rPr>
        <w:t>מש"חים</w:t>
      </w:r>
      <w:proofErr w:type="spellEnd"/>
      <w:r w:rsidRPr="00477056">
        <w:rPr>
          <w:rFonts w:ascii="Georgia" w:hAnsi="Georgia"/>
          <w:sz w:val="18"/>
          <w:szCs w:val="20"/>
          <w:rtl/>
        </w:rPr>
        <w:t xml:space="preserve"> ביישובים ערביים כי המציאות של החברה הערבית-פלסטינית בישראל (להלן </w:t>
      </w:r>
      <w:r w:rsidRPr="00477056">
        <w:rPr>
          <w:rFonts w:ascii="Georgia" w:hAnsi="Georgia"/>
          <w:b/>
          <w:bCs/>
          <w:sz w:val="18"/>
          <w:szCs w:val="20"/>
          <w:rtl/>
        </w:rPr>
        <w:t>החברה הערבית</w:t>
      </w:r>
      <w:r w:rsidRPr="00477056">
        <w:rPr>
          <w:rFonts w:ascii="Georgia" w:hAnsi="Georgia"/>
          <w:sz w:val="18"/>
          <w:szCs w:val="20"/>
          <w:rtl/>
        </w:rPr>
        <w:t>) מייצרת חסמים ייחודיים, ואלה אינם מקבלים מענה בפרקטיקה השגרתית של העבודה הסוציאלית. המחקר הנוכחי יצא לדרך מתוך רצון</w:t>
      </w:r>
      <w:r w:rsidRPr="00477056">
        <w:rPr>
          <w:rFonts w:ascii="Georgia" w:eastAsia="Calibri" w:hAnsi="Georgia"/>
          <w:sz w:val="18"/>
          <w:szCs w:val="20"/>
          <w:rtl/>
        </w:rPr>
        <w:t xml:space="preserve"> לזהות את האתגרים העומדים בפני עובדות סוציאליות העובדות עם משפחות בעוני בחברה הערבית ואת הגורמים המעצבים אותם, וכן את </w:t>
      </w:r>
      <w:proofErr w:type="spellStart"/>
      <w:r w:rsidRPr="00477056">
        <w:rPr>
          <w:rFonts w:ascii="Georgia" w:eastAsia="Calibri" w:hAnsi="Georgia"/>
          <w:sz w:val="18"/>
          <w:szCs w:val="20"/>
          <w:rtl/>
        </w:rPr>
        <w:t>הפרקטיקות</w:t>
      </w:r>
      <w:proofErr w:type="spellEnd"/>
      <w:r w:rsidRPr="00477056">
        <w:rPr>
          <w:rFonts w:ascii="Georgia" w:eastAsia="Calibri" w:hAnsi="Georgia"/>
          <w:sz w:val="18"/>
          <w:szCs w:val="20"/>
          <w:rtl/>
        </w:rPr>
        <w:t xml:space="preserve"> שעובדות סוציאליות נוקטות כדי להתמודד עימם. המחקר מבקש להבחין בין המשותף לעבודה הסוציאלית בכלל החברה הישראלית לבין הייחודי לעבודה עם פונים מהחברה הערבית.</w:t>
      </w:r>
      <w:r w:rsidRPr="00477056">
        <w:rPr>
          <w:rFonts w:ascii="Georgia" w:hAnsi="Georgia"/>
          <w:sz w:val="18"/>
          <w:szCs w:val="20"/>
          <w:rtl/>
        </w:rPr>
        <w:t xml:space="preserve"> </w:t>
      </w:r>
    </w:p>
    <w:p w14:paraId="7DC9994A"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המחקר הנוכחי מבקש לתרום לתאוריה ולפרקטיקה של העבודה הסוציאלית בקרב החברה הערבית בשני מישורים. האחד – התמקדות במשפחות ערביות החיות בעוני מנקודת מבט של העובדות הסוציאליות; האחר – אימוץ פרספקטיבה ביקורתית אשר מרחיבה את הניתוח של גישת הרגישות התרבותית ביחס לחברה הערבית. אף כי בעשורים האחרונים התפתח ידע בנושא עבודה סוציאלית בחברה הערבית, נראה כי חסר ידע על האתגרים הניצבים בפני מי </w:t>
      </w:r>
      <w:r w:rsidRPr="00477056">
        <w:rPr>
          <w:rFonts w:ascii="Georgia" w:hAnsi="Georgia"/>
          <w:sz w:val="18"/>
          <w:szCs w:val="20"/>
          <w:rtl/>
        </w:rPr>
        <w:lastRenderedPageBreak/>
        <w:t xml:space="preserve">שעובדות עם משפחות ערביות בעוני במחלקות לשירותים חברתיים, ומחקרנו מבקש לתרום בתחום זה. נוסף על כך, פרספקטיבה ביקורתית יכולה להעשיר את ההבנה בדבר האתגרים המשותפים לכלל העובדות הסוציאליות העובדות עם משפחות בעוני בחברה הישראלית, וכן בדבר האתגרים הייחודיים לחברה הערבית. </w:t>
      </w:r>
    </w:p>
    <w:p w14:paraId="3A0AB095"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כדי שלא לתפוס את החברה הערבית באופן </w:t>
      </w:r>
      <w:proofErr w:type="spellStart"/>
      <w:r w:rsidRPr="00477056">
        <w:rPr>
          <w:rFonts w:ascii="Georgia" w:hAnsi="Georgia"/>
          <w:sz w:val="18"/>
          <w:szCs w:val="20"/>
          <w:rtl/>
        </w:rPr>
        <w:t>מהותני</w:t>
      </w:r>
      <w:proofErr w:type="spellEnd"/>
      <w:r w:rsidRPr="00477056">
        <w:rPr>
          <w:rFonts w:ascii="Georgia" w:hAnsi="Georgia"/>
          <w:sz w:val="18"/>
          <w:szCs w:val="20"/>
          <w:rtl/>
        </w:rPr>
        <w:t xml:space="preserve"> – כמקשה אחת או כבעלת מהות אחת – אנו נוקטות שני אמצעים: האחד – בחינה של המשותף לעובדות סוציאליות העובדות עם משפחות בעוני בכלל החברה הישראלית. האחר – התייחסות למגוון של תת-אוכלוסיות בחברה הערבית: עירונית וכפרית, בדואית, נוצרית, מוסלמית ודרוזית. </w:t>
      </w:r>
    </w:p>
    <w:p w14:paraId="472511FB"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המאמר נפתח בסקירת ספרות קצרה על עוני ועבודה סוציאלית בחברה הערבית, וממשיך בתיאור שיטת המחקר. פרק הממצאים מתאר אתגרים המשותפים לעובדות סוציאליות בישראל, וכאלה שהם ייחודיים לעובדות סוציאליות בחברה הערבית. הוא פורס את הגורמים המעצבים אתגרים אלו, ומפרט את </w:t>
      </w:r>
      <w:proofErr w:type="spellStart"/>
      <w:r w:rsidRPr="00477056">
        <w:rPr>
          <w:rFonts w:ascii="Georgia" w:hAnsi="Georgia"/>
          <w:sz w:val="18"/>
          <w:szCs w:val="20"/>
          <w:rtl/>
        </w:rPr>
        <w:t>הפרקטיקות</w:t>
      </w:r>
      <w:proofErr w:type="spellEnd"/>
      <w:r w:rsidRPr="00477056">
        <w:rPr>
          <w:rFonts w:ascii="Georgia" w:hAnsi="Georgia"/>
          <w:sz w:val="18"/>
          <w:szCs w:val="20"/>
          <w:rtl/>
        </w:rPr>
        <w:t xml:space="preserve"> שנוקטות עובדות סוציאליות כדי להתמודד עימם. לבסוף, בדיון נתבונן בממצאים מנקודת מבט ביקורתית, נבחן את הפרשנות התרבותית שהעובדות הסוציאליות מעניקות לפונים שלהן, ונמשיג את </w:t>
      </w:r>
      <w:proofErr w:type="spellStart"/>
      <w:r w:rsidRPr="00477056">
        <w:rPr>
          <w:rFonts w:ascii="Georgia" w:hAnsi="Georgia"/>
          <w:sz w:val="18"/>
          <w:szCs w:val="20"/>
          <w:rtl/>
        </w:rPr>
        <w:t>הפרקטיקות</w:t>
      </w:r>
      <w:proofErr w:type="spellEnd"/>
      <w:r w:rsidRPr="00477056">
        <w:rPr>
          <w:rFonts w:ascii="Georgia" w:hAnsi="Georgia"/>
          <w:sz w:val="18"/>
          <w:szCs w:val="20"/>
          <w:rtl/>
        </w:rPr>
        <w:t xml:space="preserve"> הדומיננטיות שלהן </w:t>
      </w:r>
      <w:proofErr w:type="spellStart"/>
      <w:r w:rsidRPr="00477056">
        <w:rPr>
          <w:rFonts w:ascii="Georgia" w:hAnsi="Georgia"/>
          <w:sz w:val="18"/>
          <w:szCs w:val="20"/>
          <w:rtl/>
        </w:rPr>
        <w:t>כפרקטיקות</w:t>
      </w:r>
      <w:proofErr w:type="spellEnd"/>
      <w:r w:rsidRPr="00477056">
        <w:rPr>
          <w:rFonts w:ascii="Georgia" w:hAnsi="Georgia"/>
          <w:sz w:val="18"/>
          <w:szCs w:val="20"/>
          <w:rtl/>
        </w:rPr>
        <w:t xml:space="preserve"> של התמקחות.</w:t>
      </w:r>
    </w:p>
    <w:p w14:paraId="3A44F6F3" w14:textId="77777777" w:rsidR="004F6698" w:rsidRPr="004F6698" w:rsidRDefault="004F6698" w:rsidP="004F6698">
      <w:pPr>
        <w:spacing w:line="280" w:lineRule="exact"/>
        <w:jc w:val="both"/>
        <w:rPr>
          <w:rFonts w:ascii="Georgia" w:hAnsi="Georgia"/>
          <w:sz w:val="18"/>
          <w:szCs w:val="20"/>
          <w:rtl/>
        </w:rPr>
      </w:pPr>
    </w:p>
    <w:p w14:paraId="611EFE16" w14:textId="047FC251" w:rsidR="00477056" w:rsidRPr="00477056" w:rsidRDefault="00477056" w:rsidP="00477056">
      <w:pPr>
        <w:pStyle w:val="KOT5"/>
        <w:spacing w:after="0"/>
        <w:ind w:right="0"/>
        <w:outlineLvl w:val="2"/>
        <w:rPr>
          <w:rFonts w:cs="Guttman Aharoni"/>
          <w:color w:val="BA2A16"/>
          <w:rtl/>
        </w:rPr>
      </w:pPr>
      <w:r w:rsidRPr="00477056">
        <w:rPr>
          <w:rFonts w:cs="Guttman Aharoni"/>
          <w:color w:val="BA2A16"/>
          <w:rtl/>
        </w:rPr>
        <w:t xml:space="preserve">עוני בחברה הערבית </w:t>
      </w:r>
    </w:p>
    <w:p w14:paraId="7D067113" w14:textId="47F91FFB"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החברה הערבית מהווה 21.1% מהאוכלוסייה בישראל. מתוכה קרוב ל-85.5% מוסלמים (מהם 17.7% בדואים המתגוררים בעיקר בנגב), 7% נוצרים, ו-7.4% דרוזים (הלשכה המרכזית לסטטיסטיקה, 2023א). רובם מתגוררים ביישובים ערביים, השונים זה מזה הן במאפיינים הדתיים של תושביהם הן במאפיינים של גודל, מיקום גיאוגרפי, מידת הפריפריאליות והנגישות של משאבים חברתיים (</w:t>
      </w:r>
      <w:proofErr w:type="spellStart"/>
      <w:r w:rsidRPr="00477056">
        <w:rPr>
          <w:rFonts w:ascii="Georgia" w:hAnsi="Georgia"/>
          <w:sz w:val="18"/>
          <w:szCs w:val="20"/>
          <w:rtl/>
        </w:rPr>
        <w:t>קופמן</w:t>
      </w:r>
      <w:proofErr w:type="spellEnd"/>
      <w:r w:rsidRPr="00477056">
        <w:rPr>
          <w:rFonts w:ascii="Georgia" w:hAnsi="Georgia"/>
          <w:sz w:val="18"/>
          <w:szCs w:val="20"/>
          <w:rtl/>
        </w:rPr>
        <w:t>, 2012). בהשוואה לקבוצות חברתיות אחרות בישראל, החברה הערבית היא הפגיעה ביותר לעוני, ושיעורי המוביליות החברתית בקרבה הם נמוכים (</w:t>
      </w:r>
      <w:proofErr w:type="spellStart"/>
      <w:r w:rsidRPr="00477056">
        <w:rPr>
          <w:rFonts w:ascii="Georgia" w:hAnsi="Georgia"/>
          <w:sz w:val="18"/>
          <w:szCs w:val="20"/>
          <w:rtl/>
        </w:rPr>
        <w:t>ח'טאב</w:t>
      </w:r>
      <w:proofErr w:type="spellEnd"/>
      <w:r w:rsidRPr="00477056">
        <w:rPr>
          <w:rFonts w:ascii="Georgia" w:hAnsi="Georgia"/>
          <w:sz w:val="18"/>
          <w:szCs w:val="20"/>
          <w:rtl/>
        </w:rPr>
        <w:t xml:space="preserve"> ואח', 2014). הכנסתן (נטו) של 39.1% מהמשפחות הערביות נמוכה מקו העוני, בהשוואה ל-15.4% בקרב משפחות יהודיות ללא חרדים, ו-33.7% בקרב משפחות חרדיות (</w:t>
      </w:r>
      <w:proofErr w:type="spellStart"/>
      <w:r w:rsidRPr="00477056">
        <w:rPr>
          <w:rFonts w:ascii="Georgia" w:hAnsi="Georgia"/>
          <w:sz w:val="18"/>
          <w:szCs w:val="20"/>
          <w:rtl/>
        </w:rPr>
        <w:t>אנדבלד</w:t>
      </w:r>
      <w:proofErr w:type="spellEnd"/>
      <w:r w:rsidRPr="00477056">
        <w:rPr>
          <w:rFonts w:ascii="Georgia" w:hAnsi="Georgia"/>
          <w:sz w:val="18"/>
          <w:szCs w:val="20"/>
          <w:rtl/>
        </w:rPr>
        <w:t xml:space="preserve"> ואח', 2022). בשנת 2021 </w:t>
      </w:r>
      <w:proofErr w:type="spellStart"/>
      <w:r w:rsidRPr="00477056">
        <w:rPr>
          <w:rFonts w:ascii="Georgia" w:hAnsi="Georgia"/>
          <w:sz w:val="18"/>
          <w:szCs w:val="20"/>
          <w:rtl/>
        </w:rPr>
        <w:t>ה</w:t>
      </w:r>
      <w:r w:rsidR="00BF71BD">
        <w:rPr>
          <w:rFonts w:ascii="Georgia" w:hAnsi="Georgia" w:hint="cs"/>
          <w:sz w:val="18"/>
          <w:szCs w:val="20"/>
          <w:rtl/>
        </w:rPr>
        <w:t>י</w:t>
      </w:r>
      <w:r w:rsidRPr="00477056">
        <w:rPr>
          <w:rFonts w:ascii="Georgia" w:hAnsi="Georgia"/>
          <w:sz w:val="18"/>
          <w:szCs w:val="20"/>
          <w:rtl/>
        </w:rPr>
        <w:t>תה</w:t>
      </w:r>
      <w:proofErr w:type="spellEnd"/>
      <w:r w:rsidRPr="00477056">
        <w:rPr>
          <w:rFonts w:ascii="Georgia" w:hAnsi="Georgia"/>
          <w:sz w:val="18"/>
          <w:szCs w:val="20"/>
          <w:rtl/>
        </w:rPr>
        <w:t xml:space="preserve"> ההכנסה הממוצעת של משק בית ערבי נמוכה ב-33% מזו של משק בית יהודי: 12,224 שקלים ו-18,317 שקלים, בהתאמה (משרד הכלכלה והתעשייה, 2021). גם עומק העוני בקרב הערבים הוא גבוה ביותר, ואף עלה במידה ניכרת בשנת 2021, מה שמעיד כי ההכנסה הממוצעת הריאלית של העניים בחברה הערבית נמוכה בהרבה מקו העוני. </w:t>
      </w:r>
      <w:proofErr w:type="spellStart"/>
      <w:r w:rsidRPr="00477056">
        <w:rPr>
          <w:rFonts w:ascii="Georgia" w:hAnsi="Georgia"/>
          <w:sz w:val="18"/>
          <w:szCs w:val="20"/>
          <w:rtl/>
        </w:rPr>
        <w:t>אנדבלד</w:t>
      </w:r>
      <w:proofErr w:type="spellEnd"/>
      <w:r w:rsidRPr="00477056">
        <w:rPr>
          <w:rFonts w:ascii="Georgia" w:hAnsi="Georgia"/>
          <w:sz w:val="18"/>
          <w:szCs w:val="20"/>
          <w:rtl/>
        </w:rPr>
        <w:t xml:space="preserve"> ודהן (2019) מצאו כי בשנים 1995–2015, סיכוייו של משק בית ערבי להיות עני לפי ההכנסה נטו האמירו מפי 2 לקרוב לפי 5, בהשוואה לסיכוייו</w:t>
      </w:r>
      <w:r w:rsidRPr="00477056">
        <w:rPr>
          <w:rFonts w:ascii="Georgia" w:hAnsi="Georgia"/>
          <w:sz w:val="18"/>
          <w:szCs w:val="20"/>
        </w:rPr>
        <w:t xml:space="preserve"> </w:t>
      </w:r>
      <w:r w:rsidRPr="00477056">
        <w:rPr>
          <w:rFonts w:ascii="Georgia" w:hAnsi="Georgia"/>
          <w:sz w:val="18"/>
          <w:szCs w:val="20"/>
          <w:rtl/>
        </w:rPr>
        <w:t>של</w:t>
      </w:r>
      <w:r w:rsidRPr="00477056">
        <w:rPr>
          <w:rFonts w:ascii="Georgia" w:hAnsi="Georgia"/>
          <w:sz w:val="18"/>
          <w:szCs w:val="20"/>
        </w:rPr>
        <w:t xml:space="preserve"> </w:t>
      </w:r>
      <w:r w:rsidRPr="00477056">
        <w:rPr>
          <w:rFonts w:ascii="Georgia" w:hAnsi="Georgia"/>
          <w:sz w:val="18"/>
          <w:szCs w:val="20"/>
          <w:rtl/>
        </w:rPr>
        <w:t>משק</w:t>
      </w:r>
      <w:r w:rsidRPr="00477056">
        <w:rPr>
          <w:rFonts w:ascii="Georgia" w:hAnsi="Georgia"/>
          <w:sz w:val="18"/>
          <w:szCs w:val="20"/>
        </w:rPr>
        <w:t xml:space="preserve"> </w:t>
      </w:r>
      <w:r w:rsidRPr="00477056">
        <w:rPr>
          <w:rFonts w:ascii="Georgia" w:hAnsi="Georgia"/>
          <w:sz w:val="18"/>
          <w:szCs w:val="20"/>
          <w:rtl/>
        </w:rPr>
        <w:t>בית</w:t>
      </w:r>
      <w:r w:rsidRPr="00477056">
        <w:rPr>
          <w:rFonts w:ascii="Georgia" w:hAnsi="Georgia"/>
          <w:sz w:val="18"/>
          <w:szCs w:val="20"/>
        </w:rPr>
        <w:t xml:space="preserve"> </w:t>
      </w:r>
      <w:r w:rsidRPr="00477056">
        <w:rPr>
          <w:rFonts w:ascii="Georgia" w:hAnsi="Georgia"/>
          <w:sz w:val="18"/>
          <w:szCs w:val="20"/>
          <w:rtl/>
        </w:rPr>
        <w:t xml:space="preserve">יהודי בעל אותם מאפיינים. </w:t>
      </w:r>
    </w:p>
    <w:p w14:paraId="7B2CD2FF"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שיעורי העוני הגבוהים משתקפים גם ברמה המוניציפלית; כ-95% מהרשויות המצויות בתחתית הסולם החברתי-כלכלי (אשכולות 1–4) הן ערביות (</w:t>
      </w:r>
      <w:proofErr w:type="spellStart"/>
      <w:r w:rsidRPr="00477056">
        <w:rPr>
          <w:rFonts w:ascii="Georgia" w:hAnsi="Georgia"/>
          <w:sz w:val="18"/>
          <w:szCs w:val="20"/>
          <w:rtl/>
        </w:rPr>
        <w:t>חדאד</w:t>
      </w:r>
      <w:proofErr w:type="spellEnd"/>
      <w:r w:rsidRPr="00477056">
        <w:rPr>
          <w:rFonts w:ascii="Georgia" w:hAnsi="Georgia"/>
          <w:sz w:val="18"/>
          <w:szCs w:val="20"/>
          <w:rtl/>
        </w:rPr>
        <w:t xml:space="preserve">-חאג'-יחיא ואח', 2021א). </w:t>
      </w:r>
      <w:r w:rsidRPr="00477056">
        <w:rPr>
          <w:rFonts w:ascii="Georgia" w:hAnsi="Georgia"/>
          <w:sz w:val="18"/>
          <w:szCs w:val="20"/>
          <w:rtl/>
        </w:rPr>
        <w:lastRenderedPageBreak/>
        <w:t xml:space="preserve">החולשה הכלכלית של הרשויות היא בעלת השפעה שלילית ישירה על המשאבים המוקצים למחלקות לשירותים חברתיים. כך לדוגמה, בסקר צרכים שנעשה בקרב מנהלי מחלקות לשירותים חברתיים לחברה הערבית העידו 95% מהם כי העוני הוא בעיה חמורה, וכי הם מתקשים להתמודד איתה בתנאים של היעדר תקציב גמיש ומחסור באנשי מקצוע מיומנים ובתוכניות ייחודיות (אבו </w:t>
      </w:r>
      <w:proofErr w:type="spellStart"/>
      <w:r w:rsidRPr="00477056">
        <w:rPr>
          <w:rFonts w:ascii="Georgia" w:hAnsi="Georgia"/>
          <w:sz w:val="18"/>
          <w:szCs w:val="20"/>
          <w:rtl/>
        </w:rPr>
        <w:t>עסבה</w:t>
      </w:r>
      <w:proofErr w:type="spellEnd"/>
      <w:r w:rsidRPr="00477056">
        <w:rPr>
          <w:rFonts w:ascii="Georgia" w:hAnsi="Georgia"/>
          <w:sz w:val="18"/>
          <w:szCs w:val="20"/>
          <w:rtl/>
        </w:rPr>
        <w:t xml:space="preserve">, 2010). </w:t>
      </w:r>
    </w:p>
    <w:p w14:paraId="01A76C76" w14:textId="61A6E0F6" w:rsidR="00477056" w:rsidRPr="00477056" w:rsidRDefault="00477056" w:rsidP="00EF498F">
      <w:pPr>
        <w:spacing w:after="180" w:line="280" w:lineRule="exact"/>
        <w:jc w:val="both"/>
        <w:rPr>
          <w:rFonts w:ascii="Georgia" w:hAnsi="Georgia"/>
          <w:sz w:val="18"/>
          <w:szCs w:val="20"/>
          <w:rtl/>
        </w:rPr>
      </w:pPr>
      <w:proofErr w:type="spellStart"/>
      <w:r w:rsidRPr="00477056">
        <w:rPr>
          <w:rFonts w:ascii="Georgia" w:hAnsi="Georgia"/>
          <w:sz w:val="18"/>
          <w:szCs w:val="20"/>
          <w:rtl/>
        </w:rPr>
        <w:t>אנדבלד</w:t>
      </w:r>
      <w:proofErr w:type="spellEnd"/>
      <w:r w:rsidRPr="00477056">
        <w:rPr>
          <w:rFonts w:ascii="Georgia" w:hAnsi="Georgia"/>
          <w:sz w:val="18"/>
          <w:szCs w:val="20"/>
          <w:rtl/>
        </w:rPr>
        <w:t xml:space="preserve"> ודהן (2019) מצביעים על </w:t>
      </w:r>
      <w:r w:rsidR="00677F28">
        <w:rPr>
          <w:rFonts w:ascii="Georgia" w:hAnsi="Georgia" w:hint="cs"/>
          <w:sz w:val="18"/>
          <w:szCs w:val="20"/>
          <w:rtl/>
        </w:rPr>
        <w:t>2</w:t>
      </w:r>
      <w:r w:rsidR="00677F28" w:rsidRPr="00477056">
        <w:rPr>
          <w:rFonts w:ascii="Georgia" w:hAnsi="Georgia"/>
          <w:sz w:val="18"/>
          <w:szCs w:val="20"/>
          <w:rtl/>
        </w:rPr>
        <w:t xml:space="preserve"> </w:t>
      </w:r>
      <w:r w:rsidRPr="00477056">
        <w:rPr>
          <w:rFonts w:ascii="Georgia" w:hAnsi="Georgia"/>
          <w:sz w:val="18"/>
          <w:szCs w:val="20"/>
          <w:rtl/>
        </w:rPr>
        <w:t xml:space="preserve">סיבות מרכזיות לעוני החמור בחברה הערבית: הסיבה הראשונה נעוצה במאפיינים התרבותיים הייחודיים לחברה הערבית, דוגמת פטריארכליות ומסורתיות. אלה משפיעים, בין היתר, על מספר הילדים למשפחה, ומהווים חסמים לעבודת נשים מחוץ לבית. הסיבה השנייה היא כוחות מבניים, חברתיים ופוליטיים. כוחות אלה קשורים לתהליכים היסטוריים, למשל הכפפת היישובים הערביים </w:t>
      </w:r>
      <w:proofErr w:type="spellStart"/>
      <w:r w:rsidRPr="00477056">
        <w:rPr>
          <w:rFonts w:ascii="Georgia" w:hAnsi="Georgia"/>
          <w:sz w:val="18"/>
          <w:szCs w:val="20"/>
          <w:rtl/>
        </w:rPr>
        <w:t>למינהל</w:t>
      </w:r>
      <w:proofErr w:type="spellEnd"/>
      <w:r w:rsidRPr="00477056">
        <w:rPr>
          <w:rFonts w:ascii="Georgia" w:hAnsi="Georgia"/>
          <w:sz w:val="18"/>
          <w:szCs w:val="20"/>
          <w:rtl/>
        </w:rPr>
        <w:t xml:space="preserve"> הצבאי עד שנת 1966, וסימון החברה הערבית כקבוצה השייכת לעם אויב. אלה הביאו להפליה ולהדרה מוסדיות בכל תחומי החיים ולהתהוותו של מיעוט אתני, דתי, לשוני, תרבותי ולאומי נפרד שאינו נטמע ברוב היהודי (</w:t>
      </w:r>
      <w:proofErr w:type="spellStart"/>
      <w:r w:rsidRPr="00477056">
        <w:rPr>
          <w:rFonts w:ascii="Georgia" w:hAnsi="Georgia"/>
          <w:sz w:val="18"/>
          <w:szCs w:val="20"/>
          <w:rtl/>
        </w:rPr>
        <w:t>סמוחה</w:t>
      </w:r>
      <w:proofErr w:type="spellEnd"/>
      <w:r w:rsidRPr="00477056">
        <w:rPr>
          <w:rFonts w:ascii="Georgia" w:hAnsi="Georgia"/>
          <w:sz w:val="18"/>
          <w:szCs w:val="20"/>
          <w:rtl/>
        </w:rPr>
        <w:t>, 201</w:t>
      </w:r>
      <w:r w:rsidR="00AE5B8C">
        <w:rPr>
          <w:rFonts w:ascii="Georgia" w:hAnsi="Georgia" w:hint="cs"/>
          <w:sz w:val="18"/>
          <w:szCs w:val="20"/>
          <w:rtl/>
        </w:rPr>
        <w:t>7</w:t>
      </w:r>
      <w:r w:rsidRPr="00477056">
        <w:rPr>
          <w:rFonts w:ascii="Georgia" w:hAnsi="Georgia"/>
          <w:sz w:val="18"/>
          <w:szCs w:val="20"/>
          <w:rtl/>
        </w:rPr>
        <w:t xml:space="preserve">; </w:t>
      </w:r>
      <w:r w:rsidRPr="00477056">
        <w:rPr>
          <w:rFonts w:ascii="Georgia" w:hAnsi="Georgia"/>
          <w:color w:val="222222"/>
          <w:sz w:val="18"/>
          <w:szCs w:val="20"/>
          <w:shd w:val="clear" w:color="auto" w:fill="FFFFFF"/>
        </w:rPr>
        <w:t>Cnaan, 1988</w:t>
      </w:r>
      <w:r w:rsidRPr="00477056">
        <w:rPr>
          <w:rFonts w:ascii="Georgia" w:hAnsi="Georgia"/>
          <w:sz w:val="18"/>
          <w:szCs w:val="20"/>
          <w:rtl/>
        </w:rPr>
        <w:t>). הלאמת אדמות ששימשו לחקלאות ולכלכלה מסורתית, והיעדר מקורות תעסוקה חלופיים או השקעה בהון האנושי, הביאו לכך שגם כיום שיעורם של העובדים הערבים המועסקים בעבודות כפיים מקצועיות ובלתי מקצועיות בשכר נמוך הוא גבוה בהרבה מהממוצע הארצי (</w:t>
      </w:r>
      <w:proofErr w:type="spellStart"/>
      <w:r w:rsidRPr="00477056">
        <w:rPr>
          <w:rFonts w:ascii="Georgia" w:hAnsi="Georgia"/>
          <w:sz w:val="18"/>
          <w:szCs w:val="20"/>
          <w:rtl/>
        </w:rPr>
        <w:t>ח'טאב</w:t>
      </w:r>
      <w:proofErr w:type="spellEnd"/>
      <w:r w:rsidRPr="00477056">
        <w:rPr>
          <w:rFonts w:ascii="Georgia" w:hAnsi="Georgia"/>
          <w:sz w:val="18"/>
          <w:szCs w:val="20"/>
          <w:rtl/>
        </w:rPr>
        <w:t xml:space="preserve">, 2009; צדיק, 2020; </w:t>
      </w:r>
      <w:r w:rsidRPr="0007555E">
        <w:rPr>
          <w:rFonts w:ascii="David" w:hAnsi="David"/>
          <w:sz w:val="20"/>
          <w:szCs w:val="20"/>
        </w:rPr>
        <w:t>(</w:t>
      </w:r>
      <w:r w:rsidRPr="00477056">
        <w:rPr>
          <w:rFonts w:ascii="Georgia" w:hAnsi="Georgia"/>
          <w:color w:val="222222"/>
          <w:sz w:val="18"/>
          <w:szCs w:val="20"/>
          <w:shd w:val="clear" w:color="auto" w:fill="FFFFFF"/>
        </w:rPr>
        <w:t xml:space="preserve">Khattab &amp; </w:t>
      </w:r>
      <w:proofErr w:type="spellStart"/>
      <w:r w:rsidRPr="00477056">
        <w:rPr>
          <w:rFonts w:ascii="Georgia" w:hAnsi="Georgia"/>
          <w:color w:val="222222"/>
          <w:sz w:val="18"/>
          <w:szCs w:val="20"/>
          <w:shd w:val="clear" w:color="auto" w:fill="FFFFFF"/>
        </w:rPr>
        <w:t>Miaari</w:t>
      </w:r>
      <w:proofErr w:type="spellEnd"/>
      <w:r w:rsidRPr="00477056">
        <w:rPr>
          <w:rFonts w:ascii="Georgia" w:hAnsi="Georgia"/>
          <w:color w:val="222222"/>
          <w:sz w:val="18"/>
          <w:szCs w:val="20"/>
          <w:shd w:val="clear" w:color="auto" w:fill="FFFFFF"/>
        </w:rPr>
        <w:t>, 2013</w:t>
      </w:r>
      <w:r w:rsidRPr="00477056">
        <w:rPr>
          <w:rFonts w:ascii="Georgia" w:hAnsi="Georgia"/>
          <w:sz w:val="18"/>
          <w:szCs w:val="20"/>
          <w:rtl/>
        </w:rPr>
        <w:t>. השוליוּת של החברה הערבית נובעת גם מהפערים בהשקעה הממוצעת במערכת החינוך. הפערים הגדולים ביותר בין מערכת החינוך העברית לבין מערכת החינוך הערבית מצויים דווקא בין בתי ספר שלומדים בהם תלמידים מרקע חברתי-כלכלי קשה (</w:t>
      </w:r>
      <w:proofErr w:type="spellStart"/>
      <w:r w:rsidRPr="00477056">
        <w:rPr>
          <w:rFonts w:ascii="Georgia" w:hAnsi="Georgia"/>
          <w:sz w:val="18"/>
          <w:szCs w:val="20"/>
          <w:rtl/>
        </w:rPr>
        <w:t>חדאד</w:t>
      </w:r>
      <w:proofErr w:type="spellEnd"/>
      <w:r w:rsidRPr="00477056">
        <w:rPr>
          <w:rFonts w:ascii="Georgia" w:hAnsi="Georgia"/>
          <w:sz w:val="18"/>
          <w:szCs w:val="20"/>
          <w:rtl/>
        </w:rPr>
        <w:t xml:space="preserve">-חאג'-יחיא ואח', 2021ב). </w:t>
      </w:r>
    </w:p>
    <w:p w14:paraId="0EF8AD08" w14:textId="3B4CB8AD"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חוסר השוויון המבני בא לידי ביטוי גם במערכת הרווחה, אשר אמורה לפצות על אי-השוויון בתעסוקה. לדוגמה, מבנה מערכת הקצבאות, אשר קובע קצבאות ילדים נמוכות בהשוואה לקצבאות הזקנה, אינו נותן מענה מספק לחברה צעירה ומשופעת ילדים כמו החברה הערבית (</w:t>
      </w:r>
      <w:proofErr w:type="spellStart"/>
      <w:r w:rsidRPr="00477056">
        <w:rPr>
          <w:rFonts w:ascii="Georgia" w:hAnsi="Georgia"/>
          <w:sz w:val="18"/>
          <w:szCs w:val="20"/>
          <w:rtl/>
        </w:rPr>
        <w:t>אנדבלד</w:t>
      </w:r>
      <w:proofErr w:type="spellEnd"/>
      <w:r w:rsidRPr="00477056">
        <w:rPr>
          <w:rFonts w:ascii="Georgia" w:hAnsi="Georgia"/>
          <w:sz w:val="18"/>
          <w:szCs w:val="20"/>
          <w:rtl/>
        </w:rPr>
        <w:t xml:space="preserve"> ודהן, 2019; לוי, 2014). מערכת הקצבאות גם אפקטיבית פחות למשפחות החיות בעוני חמור ומתמשך, אשר מצויות בשיעורים גבוהים בחברה הערבית, בהשוואה לאפקטיביות שלה בקרב משפחות שהכנסתן קרובה לקו העוני (לוי, 2014). בשנת 2021 עמדה הירידה בשיעורי העוני בקרב המשפחות הערביות בעקבות התערבות מערכת הקצבאות על 22.8%, לעומת 47.1% בקרב המשפחות היהודיות (</w:t>
      </w:r>
      <w:proofErr w:type="spellStart"/>
      <w:r w:rsidRPr="00477056">
        <w:rPr>
          <w:rFonts w:ascii="Georgia" w:hAnsi="Georgia"/>
          <w:sz w:val="18"/>
          <w:szCs w:val="20"/>
          <w:rtl/>
        </w:rPr>
        <w:t>אנדבלד</w:t>
      </w:r>
      <w:proofErr w:type="spellEnd"/>
      <w:r w:rsidRPr="00477056">
        <w:rPr>
          <w:rFonts w:ascii="Georgia" w:hAnsi="Georgia"/>
          <w:sz w:val="18"/>
          <w:szCs w:val="20"/>
          <w:rtl/>
        </w:rPr>
        <w:t xml:space="preserve"> ואח', 2022). </w:t>
      </w:r>
    </w:p>
    <w:p w14:paraId="7512CE4A" w14:textId="6E49BAC8" w:rsidR="00477056" w:rsidRPr="00477056" w:rsidRDefault="00477056" w:rsidP="00EF498F">
      <w:pPr>
        <w:spacing w:after="180" w:line="280" w:lineRule="exact"/>
        <w:jc w:val="both"/>
        <w:rPr>
          <w:rFonts w:ascii="Georgia" w:hAnsi="Georgia"/>
          <w:sz w:val="18"/>
          <w:szCs w:val="20"/>
          <w:rtl/>
        </w:rPr>
      </w:pPr>
      <w:r w:rsidRPr="00477056">
        <w:rPr>
          <w:rFonts w:ascii="Georgia" w:hAnsi="Georgia"/>
          <w:sz w:val="18"/>
          <w:szCs w:val="20"/>
          <w:rtl/>
        </w:rPr>
        <w:t>אברהים (</w:t>
      </w:r>
      <w:r w:rsidRPr="00477056">
        <w:rPr>
          <w:rFonts w:ascii="Georgia" w:hAnsi="Georgia"/>
          <w:color w:val="222222"/>
          <w:sz w:val="18"/>
          <w:szCs w:val="20"/>
          <w:shd w:val="clear" w:color="auto" w:fill="FFFFFF"/>
        </w:rPr>
        <w:t>Ibrahim et al., 2022</w:t>
      </w:r>
      <w:r w:rsidRPr="00477056">
        <w:rPr>
          <w:rFonts w:ascii="Georgia" w:hAnsi="Georgia"/>
          <w:sz w:val="18"/>
          <w:szCs w:val="20"/>
          <w:rtl/>
        </w:rPr>
        <w:t xml:space="preserve">) טען כי התקצוב החסר של שירותי הרווחה האישיים ביישובים הערביים הביא לקיומן של </w:t>
      </w:r>
      <w:r w:rsidR="00677F28">
        <w:rPr>
          <w:rFonts w:ascii="Georgia" w:hAnsi="Georgia" w:hint="cs"/>
          <w:sz w:val="18"/>
          <w:szCs w:val="20"/>
          <w:rtl/>
        </w:rPr>
        <w:t>2</w:t>
      </w:r>
      <w:r w:rsidR="00677F28" w:rsidRPr="00477056">
        <w:rPr>
          <w:rFonts w:ascii="Georgia" w:hAnsi="Georgia"/>
          <w:sz w:val="18"/>
          <w:szCs w:val="20"/>
          <w:rtl/>
        </w:rPr>
        <w:t xml:space="preserve"> </w:t>
      </w:r>
      <w:r w:rsidRPr="00477056">
        <w:rPr>
          <w:rFonts w:ascii="Georgia" w:hAnsi="Georgia"/>
          <w:sz w:val="18"/>
          <w:szCs w:val="20"/>
          <w:rtl/>
        </w:rPr>
        <w:t xml:space="preserve">מערכות רווחה: האחת של החברה היהודית, והאחרת, ענייה יותר, של החברה הערבית. לבסוף, גם העובדה שרוב החברה הערבית מרוכזת ביישובים קטנים או בינוניים בפריפריה הצפונית או הדרומית של ישראל פוגעת בהזדמנויות לחינוך ולתעסוקה ומשמרת את הבידול. </w:t>
      </w:r>
    </w:p>
    <w:p w14:paraId="6D80F609" w14:textId="77777777" w:rsidR="00477056" w:rsidRPr="00477056" w:rsidRDefault="00477056" w:rsidP="00477056">
      <w:pPr>
        <w:spacing w:after="180" w:line="280" w:lineRule="exact"/>
        <w:jc w:val="both"/>
        <w:rPr>
          <w:rFonts w:ascii="Georgia" w:hAnsi="Georgia"/>
          <w:sz w:val="18"/>
          <w:szCs w:val="20"/>
          <w:rtl/>
        </w:rPr>
      </w:pPr>
    </w:p>
    <w:p w14:paraId="076BB753" w14:textId="344E5A6B" w:rsidR="00477056" w:rsidRPr="00477056" w:rsidRDefault="00477056" w:rsidP="00477056">
      <w:pPr>
        <w:pStyle w:val="KOT5"/>
        <w:spacing w:after="0"/>
        <w:ind w:right="0"/>
        <w:outlineLvl w:val="2"/>
        <w:rPr>
          <w:rFonts w:cs="Guttman Aharoni"/>
          <w:color w:val="BA2A16"/>
          <w:rtl/>
        </w:rPr>
      </w:pPr>
      <w:r w:rsidRPr="00477056">
        <w:rPr>
          <w:rFonts w:cs="Guttman Aharoni"/>
          <w:color w:val="BA2A16"/>
          <w:rtl/>
        </w:rPr>
        <w:lastRenderedPageBreak/>
        <w:t xml:space="preserve">עבודה סוציאלית והתערבות עם אנשים בעוני </w:t>
      </w:r>
    </w:p>
    <w:p w14:paraId="4A64AEF6" w14:textId="09BC8398"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המחלקות לשירותים חברתיים בישראל מספקות את מרבית הטיפול, הייעוץ, הגישור וההדרכה למשפחות הנאבקות בעוני ובבעיות הקשורות בו. ברמה הארגונית מאופיינות המחלקות בעומסי תיקים (כ-120 משפחות בממוצע לכל עובד סוציאלי במשרה מלאה אחת), בתקציבים לא מספקים ובהזדמנויות מוגבלות להדרכה מקצועית, וכן באידאולוגיה </w:t>
      </w:r>
      <w:r w:rsidR="00FF1A60">
        <w:rPr>
          <w:rFonts w:ascii="Georgia" w:hAnsi="Georgia"/>
          <w:sz w:val="18"/>
          <w:szCs w:val="20"/>
          <w:rtl/>
        </w:rPr>
        <w:br/>
      </w:r>
      <w:r w:rsidRPr="00477056">
        <w:rPr>
          <w:rFonts w:ascii="Georgia" w:hAnsi="Georgia"/>
          <w:sz w:val="18"/>
          <w:szCs w:val="20"/>
          <w:rtl/>
        </w:rPr>
        <w:t>ניאו-ליברלית (</w:t>
      </w:r>
      <w:r w:rsidRPr="00477056">
        <w:rPr>
          <w:rFonts w:ascii="Georgia" w:hAnsi="Georgia"/>
          <w:color w:val="222222"/>
          <w:sz w:val="18"/>
          <w:szCs w:val="20"/>
          <w:shd w:val="clear" w:color="auto" w:fill="FFFFFF"/>
        </w:rPr>
        <w:t xml:space="preserve">Gal, 2019; Lavee &amp; </w:t>
      </w:r>
      <w:proofErr w:type="spellStart"/>
      <w:r w:rsidRPr="00477056">
        <w:rPr>
          <w:rFonts w:ascii="Georgia" w:hAnsi="Georgia"/>
          <w:color w:val="222222"/>
          <w:sz w:val="18"/>
          <w:szCs w:val="20"/>
          <w:shd w:val="clear" w:color="auto" w:fill="FFFFFF"/>
        </w:rPr>
        <w:t>Strier</w:t>
      </w:r>
      <w:proofErr w:type="spellEnd"/>
      <w:r w:rsidRPr="00477056">
        <w:rPr>
          <w:rFonts w:ascii="Georgia" w:hAnsi="Georgia"/>
          <w:color w:val="222222"/>
          <w:sz w:val="18"/>
          <w:szCs w:val="20"/>
          <w:shd w:val="clear" w:color="auto" w:fill="FFFFFF"/>
        </w:rPr>
        <w:t>, 2018</w:t>
      </w:r>
      <w:r w:rsidRPr="00477056">
        <w:rPr>
          <w:rFonts w:ascii="Georgia" w:hAnsi="Georgia"/>
          <w:sz w:val="18"/>
          <w:szCs w:val="20"/>
          <w:rtl/>
        </w:rPr>
        <w:t xml:space="preserve">). עם זאת, בשנת 2015 החליט משרד הרווחה והשירותים החברתיים להתמקד במשפחות בעוני והחל להטמיע במחלקות תוכניות מיוחדות הפועלות על פי הפרדיגמה של עבודה סוציאלית מודעת-עוני, המדגישה מערכות יחסים </w:t>
      </w:r>
      <w:proofErr w:type="spellStart"/>
      <w:r w:rsidRPr="00477056">
        <w:rPr>
          <w:rFonts w:ascii="Georgia" w:hAnsi="Georgia"/>
          <w:sz w:val="18"/>
          <w:szCs w:val="20"/>
          <w:rtl/>
        </w:rPr>
        <w:t>ופרקטיקות</w:t>
      </w:r>
      <w:proofErr w:type="spellEnd"/>
      <w:r w:rsidRPr="00477056">
        <w:rPr>
          <w:rFonts w:ascii="Georgia" w:hAnsi="Georgia"/>
          <w:sz w:val="18"/>
          <w:szCs w:val="20"/>
          <w:rtl/>
        </w:rPr>
        <w:t xml:space="preserve"> מבוססות זכויות (</w:t>
      </w:r>
      <w:proofErr w:type="spellStart"/>
      <w:r w:rsidRPr="00477056">
        <w:rPr>
          <w:rFonts w:ascii="Georgia" w:hAnsi="Georgia"/>
          <w:sz w:val="18"/>
          <w:szCs w:val="20"/>
          <w:rtl/>
        </w:rPr>
        <w:t>קרומר</w:t>
      </w:r>
      <w:proofErr w:type="spellEnd"/>
      <w:r w:rsidRPr="00477056">
        <w:rPr>
          <w:rFonts w:ascii="Georgia" w:hAnsi="Georgia"/>
          <w:sz w:val="18"/>
          <w:szCs w:val="20"/>
          <w:rtl/>
        </w:rPr>
        <w:t xml:space="preserve">-נבו, 2015, 2022). הגדולה והנרחבת שבתוכניות הללו, </w:t>
      </w:r>
      <w:r w:rsidRPr="00477056">
        <w:rPr>
          <w:rFonts w:ascii="Georgia" w:hAnsi="Georgia"/>
          <w:b/>
          <w:bCs/>
          <w:sz w:val="18"/>
          <w:szCs w:val="20"/>
          <w:rtl/>
        </w:rPr>
        <w:t>נושמים לרווחה במרכזי עוצמה</w:t>
      </w:r>
      <w:r w:rsidRPr="00477056">
        <w:rPr>
          <w:rFonts w:ascii="Georgia" w:hAnsi="Georgia"/>
          <w:sz w:val="18"/>
          <w:szCs w:val="20"/>
          <w:rtl/>
        </w:rPr>
        <w:t xml:space="preserve">, נועדה לקדם משפחות בעוני במגוון תחומי חיים, לסייע במיצוי זכויות, ולפתח מענים קהילתיים </w:t>
      </w:r>
      <w:proofErr w:type="spellStart"/>
      <w:r w:rsidRPr="00477056">
        <w:rPr>
          <w:rFonts w:ascii="Georgia" w:hAnsi="Georgia"/>
          <w:sz w:val="18"/>
          <w:szCs w:val="20"/>
          <w:rtl/>
        </w:rPr>
        <w:t>ופרקטיקת</w:t>
      </w:r>
      <w:proofErr w:type="spellEnd"/>
      <w:r w:rsidRPr="00477056">
        <w:rPr>
          <w:rFonts w:ascii="Georgia" w:hAnsi="Georgia"/>
          <w:sz w:val="18"/>
          <w:szCs w:val="20"/>
          <w:rtl/>
        </w:rPr>
        <w:t xml:space="preserve"> מדיניות (</w:t>
      </w:r>
      <w:proofErr w:type="spellStart"/>
      <w:r w:rsidRPr="00477056">
        <w:rPr>
          <w:rFonts w:ascii="Georgia" w:hAnsi="Georgia"/>
          <w:sz w:val="18"/>
          <w:szCs w:val="20"/>
          <w:rtl/>
        </w:rPr>
        <w:t>קרומר</w:t>
      </w:r>
      <w:proofErr w:type="spellEnd"/>
      <w:r w:rsidRPr="00477056">
        <w:rPr>
          <w:rFonts w:ascii="Georgia" w:hAnsi="Georgia"/>
          <w:sz w:val="18"/>
          <w:szCs w:val="20"/>
          <w:rtl/>
        </w:rPr>
        <w:t xml:space="preserve">-נבו ואח', 2019). התוכנית פועלת מאז שנת 2015 ב-124 רשויות מקומיות, ובהן 56 רשויות ערביות ו-9 ערים מעורבות, יהודיות-ערביות. </w:t>
      </w:r>
    </w:p>
    <w:p w14:paraId="2F1799BE" w14:textId="77777777" w:rsidR="004F6698" w:rsidRPr="004F6698" w:rsidRDefault="004F6698" w:rsidP="004F6698">
      <w:pPr>
        <w:spacing w:line="280" w:lineRule="exact"/>
        <w:jc w:val="both"/>
        <w:rPr>
          <w:rFonts w:ascii="Georgia" w:hAnsi="Georgia"/>
          <w:sz w:val="18"/>
          <w:szCs w:val="20"/>
          <w:rtl/>
        </w:rPr>
      </w:pPr>
    </w:p>
    <w:p w14:paraId="6F072272" w14:textId="3CEF8F2A" w:rsidR="00477056" w:rsidRPr="00477056" w:rsidRDefault="00477056" w:rsidP="00477056">
      <w:pPr>
        <w:pStyle w:val="KOT5"/>
        <w:spacing w:after="0"/>
        <w:ind w:right="0"/>
        <w:outlineLvl w:val="2"/>
        <w:rPr>
          <w:rFonts w:cs="Guttman Aharoni"/>
          <w:color w:val="BA2A16"/>
          <w:rtl/>
        </w:rPr>
      </w:pPr>
      <w:r w:rsidRPr="00477056">
        <w:rPr>
          <w:rFonts w:cs="Guttman Aharoni"/>
          <w:color w:val="BA2A16"/>
          <w:rtl/>
        </w:rPr>
        <w:t>רגישות תרבותית: עבודה סוציאלית בחברה הערבית</w:t>
      </w:r>
      <w:r w:rsidRPr="00477056">
        <w:rPr>
          <w:rFonts w:cs="Guttman Aharoni"/>
          <w:color w:val="BA2A16"/>
        </w:rPr>
        <w:t xml:space="preserve"> </w:t>
      </w:r>
    </w:p>
    <w:p w14:paraId="7FC168F2" w14:textId="696FE2FC" w:rsidR="00477056" w:rsidRPr="00477056" w:rsidRDefault="00477056" w:rsidP="00EF498F">
      <w:pPr>
        <w:spacing w:after="180" w:line="280" w:lineRule="exact"/>
        <w:jc w:val="both"/>
        <w:rPr>
          <w:rFonts w:ascii="Georgia" w:hAnsi="Georgia"/>
          <w:sz w:val="18"/>
          <w:szCs w:val="20"/>
          <w:rtl/>
        </w:rPr>
      </w:pPr>
      <w:r w:rsidRPr="00477056">
        <w:rPr>
          <w:rFonts w:ascii="Georgia" w:hAnsi="Georgia"/>
          <w:sz w:val="18"/>
          <w:szCs w:val="20"/>
          <w:rtl/>
        </w:rPr>
        <w:t>בקרב חוקרי החברה הערבית יש הנוטים להדגיש את אופייה השמרני, ומטילים ספק במידת האפקטיביות של מודלים קלאסיים של התערבות הנשענים על ערכים מערביים (</w:t>
      </w:r>
      <w:r w:rsidRPr="00477056">
        <w:rPr>
          <w:rFonts w:ascii="Georgia" w:hAnsi="Georgia"/>
          <w:color w:val="222222"/>
          <w:sz w:val="18"/>
          <w:szCs w:val="20"/>
          <w:shd w:val="clear" w:color="auto" w:fill="FFFFFF"/>
        </w:rPr>
        <w:t>Buchbinder &amp; Jammal-Abboud, 2012</w:t>
      </w:r>
      <w:r w:rsidRPr="00477056">
        <w:rPr>
          <w:rFonts w:ascii="Georgia" w:hAnsi="Georgia"/>
          <w:sz w:val="18"/>
          <w:szCs w:val="20"/>
          <w:rtl/>
        </w:rPr>
        <w:t>). חוקרים אלה קוראים לעובדים סוציאליים שלא להציג את מערכת הערכים המערבית כחלופה עדיפה על פני ערכי הקהילה (</w:t>
      </w:r>
      <w:proofErr w:type="spellStart"/>
      <w:r w:rsidRPr="00477056">
        <w:rPr>
          <w:rFonts w:ascii="Georgia" w:hAnsi="Georgia"/>
          <w:sz w:val="18"/>
          <w:szCs w:val="20"/>
          <w:rtl/>
        </w:rPr>
        <w:t>בוכבינדר</w:t>
      </w:r>
      <w:proofErr w:type="spellEnd"/>
      <w:r w:rsidRPr="00477056">
        <w:rPr>
          <w:rFonts w:ascii="Georgia" w:hAnsi="Georgia"/>
          <w:sz w:val="18"/>
          <w:szCs w:val="20"/>
          <w:rtl/>
        </w:rPr>
        <w:t xml:space="preserve"> ואסעד, 2000), ולגלות רגישות לתפיסות של מקבלי השירותים כלפי עצם הטיפול, אופיו </w:t>
      </w:r>
      <w:proofErr w:type="spellStart"/>
      <w:r w:rsidRPr="00477056">
        <w:rPr>
          <w:rFonts w:ascii="Georgia" w:hAnsi="Georgia"/>
          <w:sz w:val="18"/>
          <w:szCs w:val="20"/>
          <w:rtl/>
        </w:rPr>
        <w:t>והסטינג</w:t>
      </w:r>
      <w:proofErr w:type="spellEnd"/>
      <w:r w:rsidRPr="00477056">
        <w:rPr>
          <w:rFonts w:ascii="Georgia" w:hAnsi="Georgia"/>
          <w:sz w:val="18"/>
          <w:szCs w:val="20"/>
          <w:rtl/>
        </w:rPr>
        <w:t xml:space="preserve"> שהוא מתקיים בו. יש גם חוקרים המדגישים את הצורך בפיתוח ידע מחקרי ומקצועי רגיש הֶקשר ותרבות</w:t>
      </w:r>
      <w:r w:rsidRPr="00477056">
        <w:rPr>
          <w:rFonts w:ascii="Georgia" w:eastAsia="Calibri" w:hAnsi="Georgia"/>
          <w:sz w:val="18"/>
          <w:szCs w:val="20"/>
          <w:rtl/>
        </w:rPr>
        <w:t xml:space="preserve"> </w:t>
      </w:r>
      <w:r w:rsidRPr="00477056">
        <w:rPr>
          <w:rFonts w:ascii="Georgia" w:hAnsi="Georgia"/>
          <w:sz w:val="18"/>
          <w:szCs w:val="20"/>
          <w:rtl/>
        </w:rPr>
        <w:t>(</w:t>
      </w:r>
      <w:proofErr w:type="spellStart"/>
      <w:r w:rsidRPr="00477056">
        <w:rPr>
          <w:rFonts w:ascii="Georgia" w:hAnsi="Georgia"/>
          <w:sz w:val="18"/>
          <w:szCs w:val="20"/>
          <w:rtl/>
        </w:rPr>
        <w:t>בוכבינדר</w:t>
      </w:r>
      <w:proofErr w:type="spellEnd"/>
      <w:r w:rsidRPr="00477056">
        <w:rPr>
          <w:rFonts w:ascii="Georgia" w:hAnsi="Georgia"/>
          <w:sz w:val="18"/>
          <w:szCs w:val="20"/>
          <w:rtl/>
        </w:rPr>
        <w:t xml:space="preserve"> ואסעד, 2000; </w:t>
      </w:r>
      <w:proofErr w:type="spellStart"/>
      <w:r w:rsidRPr="00477056">
        <w:rPr>
          <w:rFonts w:ascii="Georgia" w:hAnsi="Georgia"/>
          <w:sz w:val="18"/>
          <w:szCs w:val="20"/>
          <w:rtl/>
        </w:rPr>
        <w:t>ג'ראיסי</w:t>
      </w:r>
      <w:proofErr w:type="spellEnd"/>
      <w:r w:rsidRPr="00477056">
        <w:rPr>
          <w:rFonts w:ascii="Georgia" w:hAnsi="Georgia"/>
          <w:sz w:val="18"/>
          <w:szCs w:val="20"/>
          <w:rtl/>
        </w:rPr>
        <w:t xml:space="preserve">, 2012; </w:t>
      </w:r>
      <w:proofErr w:type="spellStart"/>
      <w:r w:rsidRPr="00477056">
        <w:rPr>
          <w:rFonts w:ascii="Georgia" w:hAnsi="Georgia"/>
          <w:sz w:val="18"/>
          <w:szCs w:val="20"/>
          <w:rtl/>
        </w:rPr>
        <w:t>זועבי</w:t>
      </w:r>
      <w:proofErr w:type="spellEnd"/>
      <w:r w:rsidRPr="00477056">
        <w:rPr>
          <w:rFonts w:ascii="Georgia" w:hAnsi="Georgia"/>
          <w:sz w:val="18"/>
          <w:szCs w:val="20"/>
          <w:rtl/>
        </w:rPr>
        <w:t xml:space="preserve"> וסויה, 2015; חאג' יחיא, 1994; שלהוב-</w:t>
      </w:r>
      <w:proofErr w:type="spellStart"/>
      <w:r w:rsidRPr="00477056">
        <w:rPr>
          <w:rFonts w:ascii="Georgia" w:hAnsi="Georgia"/>
          <w:sz w:val="18"/>
          <w:szCs w:val="20"/>
          <w:rtl/>
        </w:rPr>
        <w:t>קיבורקיאן</w:t>
      </w:r>
      <w:proofErr w:type="spellEnd"/>
      <w:r w:rsidRPr="00477056">
        <w:rPr>
          <w:rFonts w:ascii="Georgia" w:hAnsi="Georgia"/>
          <w:sz w:val="18"/>
          <w:szCs w:val="20"/>
          <w:rtl/>
        </w:rPr>
        <w:t xml:space="preserve">, 2003; </w:t>
      </w:r>
      <w:r w:rsidRPr="00477056">
        <w:rPr>
          <w:rFonts w:ascii="Georgia" w:hAnsi="Georgia"/>
          <w:color w:val="222222"/>
          <w:sz w:val="18"/>
          <w:szCs w:val="20"/>
          <w:shd w:val="clear" w:color="auto" w:fill="FFFFFF"/>
        </w:rPr>
        <w:t xml:space="preserve">Abu-Baker &amp; </w:t>
      </w:r>
      <w:proofErr w:type="spellStart"/>
      <w:r w:rsidRPr="00477056">
        <w:rPr>
          <w:rFonts w:ascii="Georgia" w:hAnsi="Georgia"/>
          <w:color w:val="222222"/>
          <w:sz w:val="18"/>
          <w:szCs w:val="20"/>
          <w:shd w:val="clear" w:color="auto" w:fill="FFFFFF"/>
        </w:rPr>
        <w:t>Dwairy</w:t>
      </w:r>
      <w:proofErr w:type="spellEnd"/>
      <w:r w:rsidRPr="00477056">
        <w:rPr>
          <w:rFonts w:ascii="Georgia" w:hAnsi="Georgia"/>
          <w:color w:val="222222"/>
          <w:sz w:val="18"/>
          <w:szCs w:val="20"/>
          <w:shd w:val="clear" w:color="auto" w:fill="FFFFFF"/>
        </w:rPr>
        <w:t>, 2003; Al-</w:t>
      </w:r>
      <w:proofErr w:type="spellStart"/>
      <w:r w:rsidRPr="00477056">
        <w:rPr>
          <w:rFonts w:ascii="Georgia" w:hAnsi="Georgia"/>
          <w:color w:val="222222"/>
          <w:sz w:val="18"/>
          <w:szCs w:val="20"/>
          <w:shd w:val="clear" w:color="auto" w:fill="FFFFFF"/>
        </w:rPr>
        <w:t>Krenawi</w:t>
      </w:r>
      <w:proofErr w:type="spellEnd"/>
      <w:r w:rsidRPr="00477056">
        <w:rPr>
          <w:rFonts w:ascii="Georgia" w:hAnsi="Georgia"/>
          <w:color w:val="222222"/>
          <w:sz w:val="18"/>
          <w:szCs w:val="20"/>
          <w:shd w:val="clear" w:color="auto" w:fill="FFFFFF"/>
        </w:rPr>
        <w:t xml:space="preserve"> &amp; Graham, 2001; Al-</w:t>
      </w:r>
      <w:proofErr w:type="spellStart"/>
      <w:r w:rsidRPr="00477056">
        <w:rPr>
          <w:rFonts w:ascii="Georgia" w:hAnsi="Georgia"/>
          <w:color w:val="222222"/>
          <w:sz w:val="18"/>
          <w:szCs w:val="20"/>
          <w:shd w:val="clear" w:color="auto" w:fill="FFFFFF"/>
        </w:rPr>
        <w:t>Krenawi</w:t>
      </w:r>
      <w:proofErr w:type="spellEnd"/>
      <w:r w:rsidRPr="00477056">
        <w:rPr>
          <w:rFonts w:ascii="Georgia" w:hAnsi="Georgia"/>
          <w:color w:val="222222"/>
          <w:sz w:val="18"/>
          <w:szCs w:val="20"/>
          <w:shd w:val="clear" w:color="auto" w:fill="FFFFFF"/>
        </w:rPr>
        <w:t xml:space="preserve"> &amp; Jackson, 2015; Buchbinder &amp; Jammal-Abboud, 2012; Haj-Yahia, 1995</w:t>
      </w:r>
      <w:r w:rsidR="00E8580A">
        <w:rPr>
          <w:rFonts w:ascii="Georgia" w:hAnsi="Georgia"/>
          <w:color w:val="222222"/>
          <w:sz w:val="18"/>
          <w:szCs w:val="20"/>
          <w:shd w:val="clear" w:color="auto" w:fill="FFFFFF"/>
        </w:rPr>
        <w:t>;</w:t>
      </w:r>
      <w:r w:rsidRPr="00477056">
        <w:rPr>
          <w:rFonts w:ascii="Georgia" w:hAnsi="Georgia"/>
          <w:color w:val="222222"/>
          <w:sz w:val="18"/>
          <w:szCs w:val="20"/>
          <w:shd w:val="clear" w:color="auto" w:fill="FFFFFF"/>
        </w:rPr>
        <w:t xml:space="preserve"> Haj-Yahia &amp; Sadan, 2008</w:t>
      </w:r>
      <w:r w:rsidRPr="00477056">
        <w:rPr>
          <w:rFonts w:ascii="Georgia" w:hAnsi="Georgia"/>
          <w:sz w:val="18"/>
          <w:szCs w:val="20"/>
          <w:rtl/>
        </w:rPr>
        <w:t xml:space="preserve">). </w:t>
      </w:r>
      <w:proofErr w:type="spellStart"/>
      <w:r w:rsidRPr="00477056">
        <w:rPr>
          <w:rFonts w:ascii="Georgia" w:hAnsi="Georgia"/>
          <w:sz w:val="18"/>
          <w:szCs w:val="20"/>
          <w:rtl/>
        </w:rPr>
        <w:t>דווירי</w:t>
      </w:r>
      <w:proofErr w:type="spellEnd"/>
      <w:r w:rsidRPr="00477056">
        <w:rPr>
          <w:rFonts w:ascii="Georgia" w:hAnsi="Georgia"/>
          <w:sz w:val="18"/>
          <w:szCs w:val="20"/>
          <w:rtl/>
        </w:rPr>
        <w:t xml:space="preserve"> (</w:t>
      </w:r>
      <w:proofErr w:type="spellStart"/>
      <w:r w:rsidRPr="00477056">
        <w:rPr>
          <w:rFonts w:ascii="Georgia" w:hAnsi="Georgia"/>
          <w:color w:val="222222"/>
          <w:sz w:val="18"/>
          <w:szCs w:val="20"/>
          <w:shd w:val="clear" w:color="auto" w:fill="FFFFFF"/>
        </w:rPr>
        <w:t>Dwairy</w:t>
      </w:r>
      <w:proofErr w:type="spellEnd"/>
      <w:r w:rsidRPr="00477056">
        <w:rPr>
          <w:rFonts w:ascii="Georgia" w:hAnsi="Georgia"/>
          <w:color w:val="222222"/>
          <w:sz w:val="18"/>
          <w:szCs w:val="20"/>
          <w:shd w:val="clear" w:color="auto" w:fill="FFFFFF"/>
        </w:rPr>
        <w:t>, 1997</w:t>
      </w:r>
      <w:r w:rsidRPr="00477056">
        <w:rPr>
          <w:rFonts w:ascii="Georgia" w:hAnsi="Georgia"/>
          <w:sz w:val="18"/>
          <w:szCs w:val="20"/>
          <w:rtl/>
        </w:rPr>
        <w:t xml:space="preserve">), למשל, מתבסס על התפיסה המקובלת בחברות </w:t>
      </w:r>
      <w:proofErr w:type="spellStart"/>
      <w:r w:rsidRPr="00477056">
        <w:rPr>
          <w:rFonts w:ascii="Georgia" w:hAnsi="Georgia"/>
          <w:sz w:val="18"/>
          <w:szCs w:val="20"/>
          <w:rtl/>
        </w:rPr>
        <w:t>קולקטיביסטיות</w:t>
      </w:r>
      <w:proofErr w:type="spellEnd"/>
      <w:r w:rsidRPr="00477056">
        <w:rPr>
          <w:rFonts w:ascii="Georgia" w:hAnsi="Georgia"/>
          <w:sz w:val="18"/>
          <w:szCs w:val="20"/>
          <w:rtl/>
        </w:rPr>
        <w:t xml:space="preserve"> ולפיה מקורן של בעיות של פרטים הוא חברתי ולא </w:t>
      </w:r>
      <w:proofErr w:type="spellStart"/>
      <w:r w:rsidRPr="00477056">
        <w:rPr>
          <w:rFonts w:ascii="Georgia" w:hAnsi="Georgia"/>
          <w:sz w:val="18"/>
          <w:szCs w:val="20"/>
          <w:rtl/>
        </w:rPr>
        <w:t>אינטראפסיכי</w:t>
      </w:r>
      <w:proofErr w:type="spellEnd"/>
      <w:r w:rsidRPr="00477056">
        <w:rPr>
          <w:rFonts w:ascii="Georgia" w:hAnsi="Georgia"/>
          <w:sz w:val="18"/>
          <w:szCs w:val="20"/>
          <w:rtl/>
        </w:rPr>
        <w:t xml:space="preserve">, ומצוקה באה לידי ביטוי בתופעות פיזיות-גופניות. הוא מציע מודל ביו-פסיכו-סוציאלי מותאם לטיפול בחברות </w:t>
      </w:r>
      <w:proofErr w:type="spellStart"/>
      <w:r w:rsidRPr="00477056">
        <w:rPr>
          <w:rFonts w:ascii="Georgia" w:hAnsi="Georgia"/>
          <w:sz w:val="18"/>
          <w:szCs w:val="20"/>
          <w:rtl/>
        </w:rPr>
        <w:t>קולקטיביסטיות</w:t>
      </w:r>
      <w:proofErr w:type="spellEnd"/>
      <w:r w:rsidRPr="00477056">
        <w:rPr>
          <w:rFonts w:ascii="Georgia" w:hAnsi="Georgia"/>
          <w:sz w:val="18"/>
          <w:szCs w:val="20"/>
          <w:rtl/>
        </w:rPr>
        <w:t xml:space="preserve"> וערביות, הכולל שפה טיפולית מטפורית-פיזיולוגית והתערבות הוליסטית המתייחסת להיבטים ביולוגיים, פסיכולוגיים וסוציאליים בעת ובעונה אחת. </w:t>
      </w:r>
    </w:p>
    <w:p w14:paraId="39E3FDBB" w14:textId="4F95EA11"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חוקרים אחרים מדגישים את חשיבותם של המשפחה הגרעינית, המשפחה המורחבת ומנהיגי הקהילה בתכנון ההתערבות. כוחה של המשפחה בחברה </w:t>
      </w:r>
      <w:proofErr w:type="spellStart"/>
      <w:r w:rsidRPr="00477056">
        <w:rPr>
          <w:rFonts w:ascii="Georgia" w:hAnsi="Georgia"/>
          <w:sz w:val="18"/>
          <w:szCs w:val="20"/>
          <w:rtl/>
        </w:rPr>
        <w:t>קולקטיביסטית</w:t>
      </w:r>
      <w:proofErr w:type="spellEnd"/>
      <w:r w:rsidRPr="00477056">
        <w:rPr>
          <w:rFonts w:ascii="Georgia" w:hAnsi="Georgia"/>
          <w:sz w:val="18"/>
          <w:szCs w:val="20"/>
          <w:rtl/>
        </w:rPr>
        <w:t xml:space="preserve"> מצוי ביכולתה לספק הגנה ותמיכה חומרית ורגשית לחבריה בעת משברים ומצוקות, אך גם ביכולתה להעניש, לדחות ולנדות פרט המתנגד להשפעתה </w:t>
      </w:r>
      <w:r w:rsidRPr="00477056">
        <w:rPr>
          <w:rFonts w:ascii="Georgia" w:eastAsia="Calibri" w:hAnsi="Georgia"/>
          <w:sz w:val="18"/>
          <w:szCs w:val="20"/>
          <w:rtl/>
        </w:rPr>
        <w:t>(חאג'-יחיא, 1994;</w:t>
      </w:r>
      <w:r w:rsidRPr="00477056">
        <w:rPr>
          <w:rFonts w:ascii="Georgia" w:eastAsia="Calibri" w:hAnsi="Georgia"/>
          <w:sz w:val="18"/>
          <w:szCs w:val="20"/>
        </w:rPr>
        <w:t xml:space="preserve"> </w:t>
      </w:r>
      <w:r w:rsidRPr="00477056">
        <w:rPr>
          <w:rFonts w:ascii="Georgia" w:eastAsia="Calibri" w:hAnsi="Georgia"/>
          <w:sz w:val="18"/>
          <w:szCs w:val="20"/>
          <w:rtl/>
        </w:rPr>
        <w:t>שלהוב-</w:t>
      </w:r>
      <w:proofErr w:type="spellStart"/>
      <w:r w:rsidRPr="00477056">
        <w:rPr>
          <w:rFonts w:ascii="Georgia" w:eastAsia="Calibri" w:hAnsi="Georgia"/>
          <w:sz w:val="18"/>
          <w:szCs w:val="20"/>
          <w:rtl/>
        </w:rPr>
        <w:t>קיבורקיאן</w:t>
      </w:r>
      <w:proofErr w:type="spellEnd"/>
      <w:r w:rsidRPr="00477056">
        <w:rPr>
          <w:rFonts w:ascii="Georgia" w:eastAsia="Calibri" w:hAnsi="Georgia"/>
          <w:sz w:val="18"/>
          <w:szCs w:val="20"/>
          <w:rtl/>
        </w:rPr>
        <w:t xml:space="preserve">, 2003; </w:t>
      </w:r>
      <w:r w:rsidRPr="00477056">
        <w:rPr>
          <w:rFonts w:ascii="Georgia" w:eastAsia="Calibri" w:hAnsi="Georgia"/>
          <w:sz w:val="18"/>
          <w:szCs w:val="20"/>
        </w:rPr>
        <w:t xml:space="preserve">Abu-Baker &amp; </w:t>
      </w:r>
      <w:proofErr w:type="spellStart"/>
      <w:r w:rsidRPr="00477056">
        <w:rPr>
          <w:rFonts w:ascii="Georgia" w:eastAsia="Calibri" w:hAnsi="Georgia"/>
          <w:sz w:val="18"/>
          <w:szCs w:val="20"/>
        </w:rPr>
        <w:t>Dwairy</w:t>
      </w:r>
      <w:proofErr w:type="spellEnd"/>
      <w:r w:rsidRPr="00477056">
        <w:rPr>
          <w:rFonts w:ascii="Georgia" w:eastAsia="Calibri" w:hAnsi="Georgia"/>
          <w:sz w:val="18"/>
          <w:szCs w:val="20"/>
        </w:rPr>
        <w:t>, 2003</w:t>
      </w:r>
      <w:r w:rsidRPr="00477056">
        <w:rPr>
          <w:rFonts w:ascii="Georgia" w:eastAsia="Calibri" w:hAnsi="Georgia"/>
          <w:sz w:val="18"/>
          <w:szCs w:val="20"/>
          <w:rtl/>
        </w:rPr>
        <w:t>).</w:t>
      </w:r>
      <w:r w:rsidRPr="00477056">
        <w:rPr>
          <w:rFonts w:ascii="Georgia" w:hAnsi="Georgia"/>
          <w:sz w:val="18"/>
          <w:szCs w:val="20"/>
          <w:rtl/>
        </w:rPr>
        <w:t xml:space="preserve"> כדי למנוע חיכוכים ועימותים בין מקבלי השירותים </w:t>
      </w:r>
      <w:r w:rsidRPr="00477056">
        <w:rPr>
          <w:rFonts w:ascii="Georgia" w:hAnsi="Georgia"/>
          <w:sz w:val="18"/>
          <w:szCs w:val="20"/>
          <w:rtl/>
        </w:rPr>
        <w:lastRenderedPageBreak/>
        <w:t>לבין סביבתם החברתית, על ההתערבות להביא בחשבון את כוחן של הקהילה והמשפחה בעיצוב חיי הפרט, ואת התלות של הפרט בסביבתו הטבעית (</w:t>
      </w:r>
      <w:proofErr w:type="spellStart"/>
      <w:r w:rsidRPr="00477056">
        <w:rPr>
          <w:rFonts w:ascii="Georgia" w:hAnsi="Georgia"/>
          <w:sz w:val="18"/>
          <w:szCs w:val="20"/>
          <w:rtl/>
        </w:rPr>
        <w:t>בוכבינדר</w:t>
      </w:r>
      <w:proofErr w:type="spellEnd"/>
      <w:r w:rsidRPr="00477056">
        <w:rPr>
          <w:rFonts w:ascii="Georgia" w:hAnsi="Georgia"/>
          <w:sz w:val="18"/>
          <w:szCs w:val="20"/>
          <w:rtl/>
        </w:rPr>
        <w:t xml:space="preserve"> ואסעד, 2000). כך לדוגמה, תכנון ההתערבות צריך להביא בחשבון את עמדותיהם של בני המשפחה כלפי תהליך השינוי הרצוי, ואת השפעתם של גורמים דוגמת גיל, מין, סדר הלידה בתוך המשפחה וקרבת מקום המגורים של המשפחה הגרעינית למשפחה המורחבת (חאג'-יחיא, 1994). יש הממליצים גם לגייס בני משפחה או דמויות מפתח בקהילה לצורך התערבות ביחסים בתוך המשפחה הגרעינית. פנייה לעזרת גופים ממסדיים כמו המשטרה או מערכת המשפט עלולה להיתפס בהקשר זה כפגיעה בפרטיותה של המשפחה, ולכן עליה להיות מוצא אחרון בלבד (</w:t>
      </w:r>
      <w:proofErr w:type="spellStart"/>
      <w:r w:rsidRPr="00477056">
        <w:rPr>
          <w:rFonts w:ascii="Georgia" w:hAnsi="Georgia"/>
          <w:sz w:val="18"/>
          <w:szCs w:val="20"/>
          <w:rtl/>
        </w:rPr>
        <w:t>זועבי</w:t>
      </w:r>
      <w:proofErr w:type="spellEnd"/>
      <w:r w:rsidRPr="00477056">
        <w:rPr>
          <w:rFonts w:ascii="Georgia" w:hAnsi="Georgia"/>
          <w:sz w:val="18"/>
          <w:szCs w:val="20"/>
          <w:rtl/>
        </w:rPr>
        <w:t xml:space="preserve"> וסויה, 2015; שלהוב-</w:t>
      </w:r>
      <w:proofErr w:type="spellStart"/>
      <w:r w:rsidRPr="00477056">
        <w:rPr>
          <w:rFonts w:ascii="Georgia" w:hAnsi="Georgia"/>
          <w:sz w:val="18"/>
          <w:szCs w:val="20"/>
          <w:rtl/>
        </w:rPr>
        <w:t>קיבורקיאן</w:t>
      </w:r>
      <w:proofErr w:type="spellEnd"/>
      <w:r w:rsidRPr="00477056">
        <w:rPr>
          <w:rFonts w:ascii="Georgia" w:hAnsi="Georgia"/>
          <w:sz w:val="18"/>
          <w:szCs w:val="20"/>
          <w:rtl/>
        </w:rPr>
        <w:t xml:space="preserve">, 2003). </w:t>
      </w:r>
    </w:p>
    <w:p w14:paraId="3771ED7C" w14:textId="77777777" w:rsidR="004F6698" w:rsidRPr="004F6698" w:rsidRDefault="004F6698" w:rsidP="004F6698">
      <w:pPr>
        <w:spacing w:line="280" w:lineRule="exact"/>
        <w:jc w:val="both"/>
        <w:rPr>
          <w:rFonts w:ascii="Georgia" w:hAnsi="Georgia"/>
          <w:sz w:val="18"/>
          <w:szCs w:val="20"/>
          <w:rtl/>
        </w:rPr>
      </w:pPr>
    </w:p>
    <w:p w14:paraId="1269AB4C" w14:textId="4D54255C" w:rsidR="00477056" w:rsidRPr="00477056" w:rsidRDefault="00477056" w:rsidP="00477056">
      <w:pPr>
        <w:pStyle w:val="KOT5"/>
        <w:spacing w:after="0"/>
        <w:ind w:right="0"/>
        <w:outlineLvl w:val="2"/>
        <w:rPr>
          <w:rFonts w:cs="Guttman Aharoni"/>
          <w:color w:val="BA2A16"/>
          <w:rtl/>
        </w:rPr>
      </w:pPr>
      <w:r w:rsidRPr="00477056">
        <w:rPr>
          <w:rFonts w:cs="Guttman Aharoni"/>
          <w:color w:val="BA2A16"/>
          <w:rtl/>
        </w:rPr>
        <w:t xml:space="preserve">מבט ביקורתי על עבודה סוציאלית </w:t>
      </w:r>
      <w:proofErr w:type="spellStart"/>
      <w:r w:rsidRPr="00477056">
        <w:rPr>
          <w:rFonts w:cs="Guttman Aharoni"/>
          <w:color w:val="BA2A16"/>
          <w:rtl/>
        </w:rPr>
        <w:t>רגישת</w:t>
      </w:r>
      <w:proofErr w:type="spellEnd"/>
      <w:r w:rsidRPr="00477056">
        <w:rPr>
          <w:rFonts w:cs="Guttman Aharoni"/>
          <w:color w:val="BA2A16"/>
          <w:rtl/>
        </w:rPr>
        <w:t xml:space="preserve"> תרבות </w:t>
      </w:r>
    </w:p>
    <w:p w14:paraId="7ADD2B4B" w14:textId="25D189B6" w:rsidR="00477056" w:rsidRPr="00477056" w:rsidRDefault="00477056" w:rsidP="00EF498F">
      <w:pPr>
        <w:spacing w:after="180" w:line="280" w:lineRule="exact"/>
        <w:jc w:val="both"/>
        <w:rPr>
          <w:rFonts w:ascii="Georgia" w:hAnsi="Georgia"/>
          <w:sz w:val="18"/>
          <w:szCs w:val="20"/>
          <w:rtl/>
        </w:rPr>
      </w:pPr>
      <w:r w:rsidRPr="00477056">
        <w:rPr>
          <w:rFonts w:ascii="Georgia" w:hAnsi="Georgia"/>
          <w:sz w:val="18"/>
          <w:szCs w:val="20"/>
          <w:rtl/>
        </w:rPr>
        <w:t>גישת הרגישות התרבותית הושפעה בשנים האחרונות ממגמות ביקורתיות, ובמיוחד מהתאוריה הפוסט-קולוניאלית ומתאוריית הגזע הביקורתית (</w:t>
      </w:r>
      <w:r w:rsidRPr="00477056">
        <w:rPr>
          <w:rFonts w:ascii="Georgia" w:hAnsi="Georgia"/>
          <w:color w:val="222222"/>
          <w:sz w:val="18"/>
          <w:szCs w:val="20"/>
          <w:shd w:val="clear" w:color="auto" w:fill="FFFFFF"/>
        </w:rPr>
        <w:t>critical race theory</w:t>
      </w:r>
      <w:r w:rsidRPr="00477056">
        <w:rPr>
          <w:rFonts w:ascii="Georgia" w:hAnsi="Georgia"/>
          <w:sz w:val="18"/>
          <w:szCs w:val="20"/>
          <w:rtl/>
        </w:rPr>
        <w:t xml:space="preserve">), אשר מבקשות להימנע מראייה </w:t>
      </w:r>
      <w:proofErr w:type="spellStart"/>
      <w:r w:rsidRPr="00477056">
        <w:rPr>
          <w:rFonts w:ascii="Georgia" w:hAnsi="Georgia"/>
          <w:sz w:val="18"/>
          <w:szCs w:val="20"/>
          <w:rtl/>
        </w:rPr>
        <w:t>מהותנית</w:t>
      </w:r>
      <w:proofErr w:type="spellEnd"/>
      <w:r w:rsidRPr="00477056">
        <w:rPr>
          <w:rFonts w:ascii="Georgia" w:hAnsi="Georgia"/>
          <w:sz w:val="18"/>
          <w:szCs w:val="20"/>
          <w:rtl/>
        </w:rPr>
        <w:t xml:space="preserve"> של המושג תרבות ולבחון את התרבות בהקשר </w:t>
      </w:r>
      <w:r w:rsidR="002119A7">
        <w:rPr>
          <w:rFonts w:ascii="Georgia" w:hAnsi="Georgia"/>
          <w:sz w:val="18"/>
          <w:szCs w:val="20"/>
          <w:rtl/>
        </w:rPr>
        <w:br/>
      </w:r>
      <w:r w:rsidRPr="00477056">
        <w:rPr>
          <w:rFonts w:ascii="Georgia" w:hAnsi="Georgia"/>
          <w:sz w:val="18"/>
          <w:szCs w:val="20"/>
          <w:rtl/>
        </w:rPr>
        <w:t>פוליטי-חברתי-כלכלי (</w:t>
      </w:r>
      <w:r w:rsidRPr="00477056">
        <w:rPr>
          <w:rFonts w:ascii="Georgia" w:hAnsi="Georgia"/>
          <w:sz w:val="18"/>
          <w:szCs w:val="20"/>
        </w:rPr>
        <w:t xml:space="preserve">Abrams &amp; </w:t>
      </w:r>
      <w:proofErr w:type="spellStart"/>
      <w:r w:rsidRPr="00477056">
        <w:rPr>
          <w:rFonts w:ascii="Georgia" w:hAnsi="Georgia"/>
          <w:sz w:val="18"/>
          <w:szCs w:val="20"/>
        </w:rPr>
        <w:t>Moio</w:t>
      </w:r>
      <w:proofErr w:type="spellEnd"/>
      <w:r w:rsidRPr="00477056">
        <w:rPr>
          <w:rFonts w:ascii="Georgia" w:hAnsi="Georgia"/>
          <w:sz w:val="18"/>
          <w:szCs w:val="20"/>
        </w:rPr>
        <w:t>, 2009; Harrison, 2007; Park, 2005</w:t>
      </w:r>
      <w:r w:rsidRPr="00477056">
        <w:rPr>
          <w:rFonts w:ascii="Georgia" w:hAnsi="Georgia"/>
          <w:sz w:val="18"/>
          <w:szCs w:val="20"/>
          <w:rtl/>
        </w:rPr>
        <w:t>).</w:t>
      </w:r>
      <w:r w:rsidRPr="00477056">
        <w:rPr>
          <w:rStyle w:val="FootnoteReference"/>
          <w:rFonts w:ascii="Georgia" w:hAnsi="Georgia"/>
          <w:sz w:val="18"/>
          <w:szCs w:val="20"/>
          <w:rtl/>
        </w:rPr>
        <w:footnoteReference w:id="6"/>
      </w:r>
      <w:r w:rsidRPr="00477056">
        <w:rPr>
          <w:rFonts w:ascii="Georgia" w:hAnsi="Georgia"/>
          <w:sz w:val="18"/>
          <w:szCs w:val="20"/>
          <w:rtl/>
        </w:rPr>
        <w:t xml:space="preserve"> הטענה הביקורתית הראשונה היא כי ההתמקדות בתרבותן של קבוצות מוחלשות אינה מאפשרת להתמודד עם רכיבים חברתיים ומבניים של חוסר שוויון מעמדי, הפליה וגזענות. זו ביקורת קריטית, ולפיה העיסוק בתרבות יוצר דה-פוליטיזציה של מקצוע העבודה הסוציאלית </w:t>
      </w:r>
      <w:r w:rsidR="00DA0DE3">
        <w:rPr>
          <w:rFonts w:ascii="Georgia" w:hAnsi="Georgia"/>
          <w:sz w:val="18"/>
          <w:szCs w:val="20"/>
          <w:rtl/>
        </w:rPr>
        <w:br/>
      </w:r>
      <w:r w:rsidRPr="00477056">
        <w:rPr>
          <w:rFonts w:ascii="Georgia" w:hAnsi="Georgia"/>
          <w:sz w:val="18"/>
          <w:szCs w:val="20"/>
          <w:rtl/>
        </w:rPr>
        <w:t>(</w:t>
      </w:r>
      <w:r w:rsidRPr="00477056">
        <w:rPr>
          <w:rFonts w:ascii="Georgia" w:hAnsi="Georgia"/>
          <w:color w:val="222222"/>
          <w:sz w:val="18"/>
          <w:szCs w:val="20"/>
          <w:shd w:val="clear" w:color="auto" w:fill="FFFFFF"/>
        </w:rPr>
        <w:t>Abu-Rayya et al., 2021</w:t>
      </w:r>
      <w:r w:rsidRPr="00477056">
        <w:rPr>
          <w:rFonts w:ascii="Georgia" w:hAnsi="Georgia"/>
          <w:sz w:val="18"/>
          <w:szCs w:val="20"/>
          <w:rtl/>
        </w:rPr>
        <w:t>) והטיה פרשנית המעוותת את תמונת המציאות. במקום להכיר בקיומם של הפליה, גזענות ודיכוי המופנים כלפי קבוצות אתניות מוחלשות, עובדות סוציאליות מבינות התנהגויות של קבוצות מיעוט כביטוי של מאפיינים תרבותיים. הביקורת טוענת כי התרבות שופכת אור חלקי בלבד על התנהגותם של פרטים וקבוצות. כדי להבין את התנהגותן של קבוצות אתניות יש להוסיף להיכרות עם התרבות גם הבנה מעמיקה של הנסיבות המבניות ואי-השוויון</w:t>
      </w:r>
      <w:r w:rsidR="009D37D2">
        <w:rPr>
          <w:rFonts w:ascii="Georgia" w:hAnsi="Georgia" w:hint="cs"/>
          <w:sz w:val="18"/>
          <w:szCs w:val="20"/>
          <w:rtl/>
        </w:rPr>
        <w:t>,</w:t>
      </w:r>
      <w:r w:rsidRPr="00477056">
        <w:rPr>
          <w:rFonts w:ascii="Georgia" w:hAnsi="Georgia"/>
          <w:sz w:val="18"/>
          <w:szCs w:val="20"/>
          <w:rtl/>
        </w:rPr>
        <w:t xml:space="preserve"> ושל השפעתם. </w:t>
      </w:r>
    </w:p>
    <w:p w14:paraId="11D2CE4A" w14:textId="13426D23"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הטענה הביקור</w:t>
      </w:r>
      <w:r w:rsidR="0084618D">
        <w:rPr>
          <w:rFonts w:ascii="Georgia" w:hAnsi="Georgia" w:hint="cs"/>
          <w:sz w:val="18"/>
          <w:szCs w:val="20"/>
          <w:rtl/>
        </w:rPr>
        <w:t>ת</w:t>
      </w:r>
      <w:r w:rsidRPr="00477056">
        <w:rPr>
          <w:rFonts w:ascii="Georgia" w:hAnsi="Georgia"/>
          <w:sz w:val="18"/>
          <w:szCs w:val="20"/>
          <w:rtl/>
        </w:rPr>
        <w:t xml:space="preserve">ית השנייה היא כי התמקדות במאפיינים התרבותיים יוצרת מצג שווא של תרבות כמהות קבועה ואחידה, אף שכל תרבות היא דינמית ומשתנה בהתאם להקשר ההיסטורי והפוליטי. המחשבה על תרבות כעל דבר אחיד וקבוע גוררת אף אובייקטיפיקציה שלה </w:t>
      </w:r>
      <w:r w:rsidRPr="0007555E">
        <w:rPr>
          <w:rFonts w:ascii="David" w:hAnsi="David"/>
          <w:color w:val="222222"/>
          <w:sz w:val="20"/>
          <w:szCs w:val="20"/>
          <w:shd w:val="clear" w:color="auto" w:fill="FFFFFF"/>
        </w:rPr>
        <w:t>(</w:t>
      </w:r>
      <w:r w:rsidRPr="00477056">
        <w:rPr>
          <w:rFonts w:ascii="Georgia" w:hAnsi="Georgia"/>
          <w:color w:val="222222"/>
          <w:sz w:val="18"/>
          <w:szCs w:val="20"/>
          <w:shd w:val="clear" w:color="auto" w:fill="FFFFFF"/>
        </w:rPr>
        <w:t xml:space="preserve">Ben-Ari, &amp; </w:t>
      </w:r>
      <w:proofErr w:type="spellStart"/>
      <w:r w:rsidRPr="00477056">
        <w:rPr>
          <w:rFonts w:ascii="Georgia" w:hAnsi="Georgia"/>
          <w:color w:val="222222"/>
          <w:sz w:val="18"/>
          <w:szCs w:val="20"/>
          <w:shd w:val="clear" w:color="auto" w:fill="FFFFFF"/>
        </w:rPr>
        <w:t>Strier</w:t>
      </w:r>
      <w:proofErr w:type="spellEnd"/>
      <w:r w:rsidRPr="00477056">
        <w:rPr>
          <w:rFonts w:ascii="Georgia" w:hAnsi="Georgia"/>
          <w:color w:val="222222"/>
          <w:sz w:val="18"/>
          <w:szCs w:val="20"/>
          <w:shd w:val="clear" w:color="auto" w:fill="FFFFFF"/>
        </w:rPr>
        <w:t>, 2010</w:t>
      </w:r>
      <w:r w:rsidRPr="0007555E">
        <w:rPr>
          <w:rFonts w:ascii="David" w:hAnsi="David"/>
          <w:color w:val="222222"/>
          <w:sz w:val="20"/>
          <w:szCs w:val="20"/>
          <w:shd w:val="clear" w:color="auto" w:fill="FFFFFF"/>
        </w:rPr>
        <w:t>)</w:t>
      </w:r>
      <w:r w:rsidR="0084618D">
        <w:rPr>
          <w:rFonts w:ascii="Georgia" w:hAnsi="Georgia" w:hint="cs"/>
          <w:sz w:val="18"/>
          <w:szCs w:val="20"/>
          <w:rtl/>
        </w:rPr>
        <w:t>,</w:t>
      </w:r>
      <w:r w:rsidRPr="00477056">
        <w:rPr>
          <w:rFonts w:ascii="Georgia" w:hAnsi="Georgia"/>
          <w:sz w:val="18"/>
          <w:szCs w:val="20"/>
          <w:rtl/>
        </w:rPr>
        <w:t xml:space="preserve"> ומטשטשת את העובדה שהפרטים המשתייכים לקבוצה אתנית מוחלשת יכולים להיות שונים זה מזה במידה ובאופן ההזדהות שלהם עם תרבותם. </w:t>
      </w:r>
    </w:p>
    <w:p w14:paraId="5F40B20A"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הטענה הביקורתית השלישית היא שהדגשת המאפיינים האתניים הייחודיים מטשטשת את המשותף שבין קבוצות אתניות פריבילגיות לבין קבוצות מוחלשות, ובכך תורמת להאחרה. </w:t>
      </w:r>
      <w:r w:rsidRPr="00477056">
        <w:rPr>
          <w:rFonts w:ascii="Georgia" w:hAnsi="Georgia"/>
          <w:sz w:val="18"/>
          <w:szCs w:val="20"/>
          <w:rtl/>
        </w:rPr>
        <w:lastRenderedPageBreak/>
        <w:t xml:space="preserve">זאת ועוד, היא מאפשרת לעובדות הסוציאליות לא להתמודד עם מעמדן </w:t>
      </w:r>
      <w:proofErr w:type="spellStart"/>
      <w:r w:rsidRPr="00477056">
        <w:rPr>
          <w:rFonts w:ascii="Georgia" w:hAnsi="Georgia"/>
          <w:sz w:val="18"/>
          <w:szCs w:val="20"/>
          <w:rtl/>
        </w:rPr>
        <w:t>הפריבילגי</w:t>
      </w:r>
      <w:proofErr w:type="spellEnd"/>
      <w:r w:rsidRPr="00477056">
        <w:rPr>
          <w:rFonts w:ascii="Georgia" w:hAnsi="Georgia"/>
          <w:sz w:val="18"/>
          <w:szCs w:val="20"/>
          <w:rtl/>
        </w:rPr>
        <w:t xml:space="preserve"> בחברה ועם מגבלות בראייה שלהן עקב השתייכותן לתרבות ההגמונית. </w:t>
      </w:r>
    </w:p>
    <w:p w14:paraId="28B07142" w14:textId="77777777" w:rsidR="004F6698" w:rsidRPr="004F6698" w:rsidRDefault="004F6698" w:rsidP="004F6698">
      <w:pPr>
        <w:spacing w:line="280" w:lineRule="exact"/>
        <w:jc w:val="both"/>
        <w:rPr>
          <w:rFonts w:ascii="Georgia" w:hAnsi="Georgia"/>
          <w:sz w:val="18"/>
          <w:szCs w:val="20"/>
          <w:rtl/>
        </w:rPr>
      </w:pPr>
    </w:p>
    <w:p w14:paraId="6F83FF4D" w14:textId="302A11DD" w:rsidR="00477056" w:rsidRPr="00477056" w:rsidRDefault="00477056" w:rsidP="00477056">
      <w:pPr>
        <w:pStyle w:val="KOT5"/>
        <w:spacing w:after="0"/>
        <w:ind w:right="0"/>
        <w:outlineLvl w:val="2"/>
        <w:rPr>
          <w:rFonts w:cs="Guttman Aharoni"/>
          <w:color w:val="BA2A16"/>
          <w:rtl/>
        </w:rPr>
      </w:pPr>
      <w:r w:rsidRPr="00477056">
        <w:rPr>
          <w:rFonts w:cs="Guttman Aharoni"/>
          <w:color w:val="BA2A16"/>
          <w:rtl/>
        </w:rPr>
        <w:t xml:space="preserve">החברה הערבית בראי הגישות הביקורתיות  </w:t>
      </w:r>
    </w:p>
    <w:p w14:paraId="35E62D40" w14:textId="2A60280B" w:rsidR="00477056" w:rsidRPr="00477056" w:rsidRDefault="00477056" w:rsidP="00EF498F">
      <w:pPr>
        <w:spacing w:after="180" w:line="280" w:lineRule="exact"/>
        <w:jc w:val="both"/>
        <w:rPr>
          <w:rFonts w:ascii="Georgia" w:hAnsi="Georgia"/>
          <w:sz w:val="18"/>
          <w:szCs w:val="20"/>
          <w:rtl/>
        </w:rPr>
      </w:pPr>
      <w:r w:rsidRPr="004F6698">
        <w:rPr>
          <w:rFonts w:ascii="Georgia" w:hAnsi="Georgia"/>
          <w:spacing w:val="-2"/>
          <w:sz w:val="18"/>
          <w:szCs w:val="20"/>
          <w:rtl/>
        </w:rPr>
        <w:t>הגישות הביקורתיות מבקשות לערער על תפיסת החברה הערבית כחברה אחידה, שמאפייניה התרבותיים הם קבועים. אין הכוונה לבטל לגמרי את ההכרה במאפיינים תרבותיים, אלא להוסיף עליהם גם הכרה בתהליכים ההיסטוריים ובמבני הדיכוי ואי-השוויון אשר פועלים על החברה הערבית ומעצבים אותה. חוקרות ערביות ביקורתיות טענו כי הדיכוי</w:t>
      </w:r>
      <w:r w:rsidRPr="00477056">
        <w:rPr>
          <w:rFonts w:ascii="Georgia" w:hAnsi="Georgia"/>
          <w:sz w:val="18"/>
          <w:szCs w:val="20"/>
          <w:rtl/>
        </w:rPr>
        <w:t xml:space="preserve"> המתמשך של החברה הערבית מעצים ומחזק את המבנים הפטריארכליים המקומיים (חסן, 1999; </w:t>
      </w:r>
      <w:r w:rsidRPr="00477056">
        <w:rPr>
          <w:rFonts w:ascii="Georgia" w:hAnsi="Georgia"/>
          <w:sz w:val="18"/>
          <w:szCs w:val="20"/>
          <w:shd w:val="clear" w:color="auto" w:fill="FFFFFF"/>
        </w:rPr>
        <w:t>Shalhoub-</w:t>
      </w:r>
      <w:proofErr w:type="spellStart"/>
      <w:r w:rsidRPr="00477056">
        <w:rPr>
          <w:rFonts w:ascii="Georgia" w:hAnsi="Georgia"/>
          <w:sz w:val="18"/>
          <w:szCs w:val="20"/>
          <w:shd w:val="clear" w:color="auto" w:fill="FFFFFF"/>
        </w:rPr>
        <w:t>Kervorkian</w:t>
      </w:r>
      <w:proofErr w:type="spellEnd"/>
      <w:r w:rsidRPr="00477056">
        <w:rPr>
          <w:rFonts w:ascii="Georgia" w:hAnsi="Georgia"/>
          <w:sz w:val="18"/>
          <w:szCs w:val="20"/>
          <w:shd w:val="clear" w:color="auto" w:fill="FFFFFF"/>
        </w:rPr>
        <w:t xml:space="preserve"> &amp; Daher-</w:t>
      </w:r>
      <w:proofErr w:type="spellStart"/>
      <w:r w:rsidRPr="00477056">
        <w:rPr>
          <w:rFonts w:ascii="Georgia" w:hAnsi="Georgia"/>
          <w:sz w:val="18"/>
          <w:szCs w:val="20"/>
          <w:shd w:val="clear" w:color="auto" w:fill="FFFFFF"/>
        </w:rPr>
        <w:t>Nashif</w:t>
      </w:r>
      <w:proofErr w:type="spellEnd"/>
      <w:r w:rsidRPr="00477056">
        <w:rPr>
          <w:rFonts w:ascii="Georgia" w:hAnsi="Georgia"/>
          <w:sz w:val="18"/>
          <w:szCs w:val="20"/>
          <w:shd w:val="clear" w:color="auto" w:fill="FFFFFF"/>
        </w:rPr>
        <w:t>, 2013</w:t>
      </w:r>
      <w:r w:rsidRPr="00477056">
        <w:rPr>
          <w:rFonts w:ascii="Georgia" w:hAnsi="Georgia"/>
          <w:sz w:val="18"/>
          <w:szCs w:val="20"/>
          <w:rtl/>
        </w:rPr>
        <w:t xml:space="preserve">). לדוגמה, עצימת העין של הממסד </w:t>
      </w:r>
      <w:r w:rsidR="0084618D">
        <w:rPr>
          <w:rFonts w:ascii="Georgia" w:hAnsi="Georgia"/>
          <w:sz w:val="18"/>
          <w:szCs w:val="20"/>
          <w:rtl/>
        </w:rPr>
        <w:br/>
      </w:r>
      <w:r w:rsidRPr="00477056">
        <w:rPr>
          <w:rFonts w:ascii="Georgia" w:hAnsi="Georgia"/>
          <w:sz w:val="18"/>
          <w:szCs w:val="20"/>
          <w:rtl/>
        </w:rPr>
        <w:t xml:space="preserve">ואי-אכיפת האיסור על פוליגמיה מאפשרים גידול בהיקף הנישואין הפוליגמיים </w:t>
      </w:r>
      <w:r w:rsidR="0084618D">
        <w:rPr>
          <w:rFonts w:ascii="Georgia" w:hAnsi="Georgia"/>
          <w:sz w:val="18"/>
          <w:szCs w:val="20"/>
          <w:rtl/>
        </w:rPr>
        <w:br/>
      </w:r>
      <w:r w:rsidRPr="00477056">
        <w:rPr>
          <w:rFonts w:ascii="Georgia" w:hAnsi="Georgia"/>
          <w:sz w:val="18"/>
          <w:szCs w:val="20"/>
          <w:rtl/>
        </w:rPr>
        <w:t xml:space="preserve">(אבו-רביעה, 2022; </w:t>
      </w:r>
      <w:proofErr w:type="spellStart"/>
      <w:r w:rsidRPr="00477056">
        <w:rPr>
          <w:rFonts w:ascii="Georgia" w:hAnsi="Georgia"/>
          <w:sz w:val="18"/>
          <w:szCs w:val="20"/>
          <w:rtl/>
        </w:rPr>
        <w:t>יכימוביץ</w:t>
      </w:r>
      <w:proofErr w:type="spellEnd"/>
      <w:r w:rsidRPr="00477056">
        <w:rPr>
          <w:rFonts w:ascii="Georgia" w:hAnsi="Georgia"/>
          <w:sz w:val="18"/>
          <w:szCs w:val="20"/>
          <w:rtl/>
        </w:rPr>
        <w:t xml:space="preserve">-כהן, 2022). כך גם באשר לאילוצים הכלכליים והפוליטיים. המחסור בקרקעות ביישובים הערביים וצמצום שטחי השיפוט שלהם מעודדים בנייה מעל בית ההורים, ובכך משמרים ומחזקים דפוס מגורים </w:t>
      </w:r>
      <w:proofErr w:type="spellStart"/>
      <w:r w:rsidRPr="00477056">
        <w:rPr>
          <w:rFonts w:ascii="Georgia" w:hAnsi="Georgia"/>
          <w:sz w:val="18"/>
          <w:szCs w:val="20"/>
          <w:rtl/>
        </w:rPr>
        <w:t>פטרילוקלי</w:t>
      </w:r>
      <w:proofErr w:type="spellEnd"/>
      <w:r w:rsidRPr="00477056">
        <w:rPr>
          <w:rFonts w:ascii="Georgia" w:hAnsi="Georgia"/>
          <w:sz w:val="18"/>
          <w:szCs w:val="20"/>
          <w:rtl/>
        </w:rPr>
        <w:t xml:space="preserve"> שבו האישה עוברת לגור לצד משפחת בעלה והופכת נתונה לפיקוח</w:t>
      </w:r>
      <w:r w:rsidR="0084618D">
        <w:rPr>
          <w:rFonts w:ascii="Georgia" w:hAnsi="Georgia" w:hint="cs"/>
          <w:sz w:val="18"/>
          <w:szCs w:val="20"/>
          <w:rtl/>
        </w:rPr>
        <w:t>ה</w:t>
      </w:r>
      <w:r w:rsidRPr="00477056">
        <w:rPr>
          <w:rFonts w:ascii="Georgia" w:hAnsi="Georgia"/>
          <w:sz w:val="18"/>
          <w:szCs w:val="20"/>
          <w:rtl/>
        </w:rPr>
        <w:t xml:space="preserve"> (אבו </w:t>
      </w:r>
      <w:proofErr w:type="spellStart"/>
      <w:r w:rsidRPr="00477056">
        <w:rPr>
          <w:rFonts w:ascii="Georgia" w:hAnsi="Georgia"/>
          <w:sz w:val="18"/>
          <w:szCs w:val="20"/>
          <w:rtl/>
        </w:rPr>
        <w:t>טביך</w:t>
      </w:r>
      <w:proofErr w:type="spellEnd"/>
      <w:r w:rsidRPr="00477056">
        <w:rPr>
          <w:rFonts w:ascii="Georgia" w:hAnsi="Georgia"/>
          <w:sz w:val="18"/>
          <w:szCs w:val="20"/>
          <w:rtl/>
        </w:rPr>
        <w:t xml:space="preserve">, 2009). </w:t>
      </w:r>
    </w:p>
    <w:p w14:paraId="5A62C8E4" w14:textId="5972FEF5" w:rsidR="00477056" w:rsidRPr="00477056" w:rsidRDefault="00477056" w:rsidP="00A37A24">
      <w:pPr>
        <w:spacing w:after="180" w:line="280" w:lineRule="exact"/>
        <w:jc w:val="both"/>
        <w:rPr>
          <w:rFonts w:ascii="Georgia" w:hAnsi="Georgia"/>
          <w:sz w:val="18"/>
          <w:szCs w:val="20"/>
          <w:rtl/>
        </w:rPr>
      </w:pPr>
      <w:r w:rsidRPr="00477056">
        <w:rPr>
          <w:rFonts w:ascii="Georgia" w:hAnsi="Georgia"/>
          <w:sz w:val="18"/>
          <w:szCs w:val="20"/>
          <w:rtl/>
        </w:rPr>
        <w:t>בהמשך לכך, חוקרות ביקורתיות מצביעות על תהליכי שינוי מואצים בחברה הערבית ועל התנגדות פנים-חברתית למבני כוח מסורתיים – משפחתיים, חברתיים, תרבותיים, כלכליים ופוליטיים. קיימים נתונים המצביעים על שינויים ביחסים הזוגיים ובתבניות של המשפחות העכשוויות (</w:t>
      </w:r>
      <w:proofErr w:type="spellStart"/>
      <w:r w:rsidRPr="00477056">
        <w:rPr>
          <w:rFonts w:ascii="Georgia" w:hAnsi="Georgia"/>
          <w:sz w:val="18"/>
          <w:szCs w:val="20"/>
          <w:rtl/>
        </w:rPr>
        <w:t>ח'ורי</w:t>
      </w:r>
      <w:proofErr w:type="spellEnd"/>
      <w:r w:rsidRPr="00477056">
        <w:rPr>
          <w:rFonts w:ascii="Georgia" w:hAnsi="Georgia"/>
          <w:sz w:val="18"/>
          <w:szCs w:val="20"/>
          <w:rtl/>
        </w:rPr>
        <w:t xml:space="preserve"> ובנימין, 2021; עלי </w:t>
      </w:r>
      <w:proofErr w:type="spellStart"/>
      <w:r w:rsidRPr="00477056">
        <w:rPr>
          <w:rFonts w:ascii="Georgia" w:hAnsi="Georgia"/>
          <w:sz w:val="18"/>
          <w:szCs w:val="20"/>
          <w:rtl/>
        </w:rPr>
        <w:t>וגורדוני</w:t>
      </w:r>
      <w:proofErr w:type="spellEnd"/>
      <w:r w:rsidRPr="00477056">
        <w:rPr>
          <w:rFonts w:ascii="Georgia" w:hAnsi="Georgia"/>
          <w:sz w:val="18"/>
          <w:szCs w:val="20"/>
          <w:rtl/>
        </w:rPr>
        <w:t xml:space="preserve">, 2009; </w:t>
      </w:r>
      <w:r w:rsidRPr="00477056">
        <w:rPr>
          <w:rFonts w:ascii="Georgia" w:hAnsi="Georgia"/>
          <w:sz w:val="18"/>
          <w:szCs w:val="20"/>
          <w:shd w:val="clear" w:color="auto" w:fill="FFFFFF"/>
        </w:rPr>
        <w:t>Al-Naser, 2005; Meler, 2017</w:t>
      </w:r>
      <w:r w:rsidRPr="00477056">
        <w:rPr>
          <w:rFonts w:ascii="Georgia" w:hAnsi="Georgia"/>
          <w:sz w:val="18"/>
          <w:szCs w:val="20"/>
          <w:rtl/>
        </w:rPr>
        <w:t xml:space="preserve">). כך לדוגמה, שיעור הגירושין </w:t>
      </w:r>
      <w:r w:rsidR="0084618D">
        <w:rPr>
          <w:rFonts w:ascii="Georgia" w:hAnsi="Georgia" w:hint="cs"/>
          <w:sz w:val="18"/>
          <w:szCs w:val="20"/>
          <w:rtl/>
        </w:rPr>
        <w:t xml:space="preserve">השנתי </w:t>
      </w:r>
      <w:r w:rsidRPr="00477056">
        <w:rPr>
          <w:rFonts w:ascii="Georgia" w:hAnsi="Georgia"/>
          <w:sz w:val="18"/>
          <w:szCs w:val="20"/>
          <w:rtl/>
        </w:rPr>
        <w:t>בחברה הערבית מצוי בעלייה ומתקרב לשיעור</w:t>
      </w:r>
      <w:r w:rsidR="0084618D">
        <w:rPr>
          <w:rFonts w:ascii="Georgia" w:hAnsi="Georgia" w:hint="cs"/>
          <w:sz w:val="18"/>
          <w:szCs w:val="20"/>
          <w:rtl/>
        </w:rPr>
        <w:t>ו</w:t>
      </w:r>
      <w:r w:rsidRPr="00477056">
        <w:rPr>
          <w:rFonts w:ascii="Georgia" w:hAnsi="Georgia"/>
          <w:sz w:val="18"/>
          <w:szCs w:val="20"/>
          <w:rtl/>
        </w:rPr>
        <w:t xml:space="preserve"> בחברה היהודית: 1.8% בקרב יהודים, 1.6% בקרב מוסלמים, 1.0% בקרב נוצרים ו-1.3% בקרב דרוזים (הלשכה המרכזית לסטטיסטיקה, 2023ב). זאת ועוד, נשים (וגברים) עושים שימוש באסטרטגיות התמודדות והתנגדות אל מול כוחות שמרניים, פוליטיים, חברתיים וכלכליים, ואל מול אילוצים פטריארכליים (אבו רביעה-</w:t>
      </w:r>
      <w:proofErr w:type="spellStart"/>
      <w:r w:rsidRPr="00477056">
        <w:rPr>
          <w:rFonts w:ascii="Georgia" w:hAnsi="Georgia"/>
          <w:sz w:val="18"/>
          <w:szCs w:val="20"/>
          <w:rtl/>
        </w:rPr>
        <w:t>קוידר</w:t>
      </w:r>
      <w:proofErr w:type="spellEnd"/>
      <w:r w:rsidRPr="00477056">
        <w:rPr>
          <w:rFonts w:ascii="Georgia" w:hAnsi="Georgia"/>
          <w:sz w:val="18"/>
          <w:szCs w:val="20"/>
          <w:rtl/>
        </w:rPr>
        <w:t>, 2010; אבו רביעה-</w:t>
      </w:r>
      <w:proofErr w:type="spellStart"/>
      <w:r w:rsidRPr="00477056">
        <w:rPr>
          <w:rFonts w:ascii="Georgia" w:hAnsi="Georgia"/>
          <w:sz w:val="18"/>
          <w:szCs w:val="20"/>
          <w:rtl/>
        </w:rPr>
        <w:t>קוידר</w:t>
      </w:r>
      <w:proofErr w:type="spellEnd"/>
      <w:r w:rsidRPr="00477056">
        <w:rPr>
          <w:rFonts w:ascii="Georgia" w:hAnsi="Georgia"/>
          <w:sz w:val="18"/>
          <w:szCs w:val="20"/>
          <w:rtl/>
        </w:rPr>
        <w:t xml:space="preserve"> ווינר-לוי, 2010; </w:t>
      </w:r>
      <w:proofErr w:type="spellStart"/>
      <w:r w:rsidRPr="00477056">
        <w:rPr>
          <w:rFonts w:ascii="Georgia" w:hAnsi="Georgia"/>
          <w:sz w:val="18"/>
          <w:szCs w:val="20"/>
          <w:rtl/>
        </w:rPr>
        <w:t>זועבי</w:t>
      </w:r>
      <w:proofErr w:type="spellEnd"/>
      <w:r w:rsidRPr="00477056">
        <w:rPr>
          <w:rFonts w:ascii="Georgia" w:hAnsi="Georgia"/>
          <w:sz w:val="18"/>
          <w:szCs w:val="20"/>
          <w:rtl/>
        </w:rPr>
        <w:t xml:space="preserve"> ואנסון, 2017; </w:t>
      </w:r>
      <w:proofErr w:type="spellStart"/>
      <w:r w:rsidRPr="00477056">
        <w:rPr>
          <w:rFonts w:ascii="Georgia" w:hAnsi="Georgia"/>
          <w:sz w:val="18"/>
          <w:szCs w:val="20"/>
          <w:rtl/>
        </w:rPr>
        <w:t>ח'ורי</w:t>
      </w:r>
      <w:proofErr w:type="spellEnd"/>
      <w:r w:rsidRPr="00477056">
        <w:rPr>
          <w:rFonts w:ascii="Georgia" w:hAnsi="Georgia"/>
          <w:sz w:val="18"/>
          <w:szCs w:val="20"/>
          <w:rtl/>
        </w:rPr>
        <w:t xml:space="preserve">, 2018; </w:t>
      </w:r>
      <w:proofErr w:type="spellStart"/>
      <w:r w:rsidRPr="00477056">
        <w:rPr>
          <w:rFonts w:ascii="Georgia" w:hAnsi="Georgia"/>
          <w:sz w:val="18"/>
          <w:szCs w:val="20"/>
          <w:rtl/>
        </w:rPr>
        <w:t>ח'ורי</w:t>
      </w:r>
      <w:proofErr w:type="spellEnd"/>
      <w:r w:rsidRPr="00477056">
        <w:rPr>
          <w:rFonts w:ascii="Georgia" w:hAnsi="Georgia"/>
          <w:sz w:val="18"/>
          <w:szCs w:val="20"/>
          <w:rtl/>
        </w:rPr>
        <w:t xml:space="preserve"> ובנימין, 2021; יחיא-יונס,</w:t>
      </w:r>
      <w:r w:rsidR="0084618D">
        <w:rPr>
          <w:rFonts w:ascii="Georgia" w:hAnsi="Georgia" w:hint="cs"/>
          <w:sz w:val="18"/>
          <w:szCs w:val="20"/>
          <w:rtl/>
        </w:rPr>
        <w:t xml:space="preserve"> </w:t>
      </w:r>
      <w:r w:rsidRPr="00477056">
        <w:rPr>
          <w:rFonts w:ascii="Georgia" w:hAnsi="Georgia"/>
          <w:sz w:val="18"/>
          <w:szCs w:val="20"/>
          <w:rtl/>
        </w:rPr>
        <w:t xml:space="preserve">2007; מלר, 2017; סער, 2007; </w:t>
      </w:r>
      <w:proofErr w:type="spellStart"/>
      <w:r w:rsidRPr="00477056">
        <w:rPr>
          <w:rFonts w:ascii="Georgia" w:hAnsi="Georgia"/>
          <w:sz w:val="18"/>
          <w:szCs w:val="20"/>
          <w:rtl/>
        </w:rPr>
        <w:t>עתאמנה</w:t>
      </w:r>
      <w:proofErr w:type="spellEnd"/>
      <w:r w:rsidRPr="00477056">
        <w:rPr>
          <w:rFonts w:ascii="Georgia" w:hAnsi="Georgia"/>
          <w:sz w:val="18"/>
          <w:szCs w:val="20"/>
          <w:rtl/>
        </w:rPr>
        <w:t xml:space="preserve">, 2022; </w:t>
      </w:r>
      <w:r w:rsidRPr="00477056">
        <w:rPr>
          <w:rFonts w:ascii="Georgia" w:hAnsi="Georgia"/>
          <w:sz w:val="18"/>
          <w:szCs w:val="20"/>
        </w:rPr>
        <w:t xml:space="preserve">Abu-Rabia, 2011; Abu-Rabia-Queder, 2006, 2007; </w:t>
      </w:r>
      <w:proofErr w:type="spellStart"/>
      <w:r w:rsidRPr="00477056">
        <w:rPr>
          <w:rFonts w:ascii="Georgia" w:hAnsi="Georgia"/>
          <w:sz w:val="18"/>
          <w:szCs w:val="20"/>
        </w:rPr>
        <w:t>Athamneh</w:t>
      </w:r>
      <w:proofErr w:type="spellEnd"/>
      <w:r w:rsidRPr="00477056">
        <w:rPr>
          <w:rFonts w:ascii="Georgia" w:hAnsi="Georgia"/>
          <w:sz w:val="18"/>
          <w:szCs w:val="20"/>
        </w:rPr>
        <w:t xml:space="preserve"> &amp; Benjamin, 2021; Herzog &amp; Yahia-Younis, 2007</w:t>
      </w:r>
      <w:r w:rsidRPr="00477056">
        <w:rPr>
          <w:rFonts w:ascii="Georgia" w:hAnsi="Georgia"/>
          <w:sz w:val="18"/>
          <w:szCs w:val="20"/>
          <w:rtl/>
        </w:rPr>
        <w:t>). נשים פועלות באופן מתוחכם המאפשר להן לשפר את הסטטוס שלהן, להרחיב את מידת החופש שלהן ולהגמיש את הגבולות התרבותיים תוך כדי התמקחות עם הפטריארכיה והתנגדות לה (</w:t>
      </w:r>
      <w:r w:rsidRPr="00477056">
        <w:rPr>
          <w:rFonts w:ascii="Georgia" w:hAnsi="Georgia"/>
          <w:sz w:val="18"/>
          <w:szCs w:val="20"/>
        </w:rPr>
        <w:t xml:space="preserve">Abu-Lughod, 1990; </w:t>
      </w:r>
      <w:proofErr w:type="spellStart"/>
      <w:r w:rsidRPr="00477056">
        <w:rPr>
          <w:rFonts w:ascii="Georgia" w:hAnsi="Georgia"/>
          <w:sz w:val="18"/>
          <w:szCs w:val="20"/>
        </w:rPr>
        <w:t>Kandiyoti</w:t>
      </w:r>
      <w:proofErr w:type="spellEnd"/>
      <w:r w:rsidRPr="00477056">
        <w:rPr>
          <w:rFonts w:ascii="Georgia" w:hAnsi="Georgia"/>
          <w:sz w:val="18"/>
          <w:szCs w:val="20"/>
        </w:rPr>
        <w:t>, 1988</w:t>
      </w:r>
      <w:r w:rsidRPr="00477056">
        <w:rPr>
          <w:rFonts w:ascii="Georgia" w:hAnsi="Georgia"/>
          <w:sz w:val="18"/>
          <w:szCs w:val="20"/>
          <w:rtl/>
        </w:rPr>
        <w:t xml:space="preserve">). בד בבד גם בקרב גברים ערבים ניתן לזהות תהליכי התנגדות למבנים פטריארכליים דוגמת משפחת המוצא, המשפחה המורחבת והחמולה, ושינוי לכיוון של אידאולוגיות </w:t>
      </w:r>
      <w:proofErr w:type="spellStart"/>
      <w:r w:rsidRPr="00477056">
        <w:rPr>
          <w:rFonts w:ascii="Georgia" w:hAnsi="Georgia"/>
          <w:sz w:val="18"/>
          <w:szCs w:val="20"/>
          <w:rtl/>
        </w:rPr>
        <w:t>ופרקטיקות</w:t>
      </w:r>
      <w:proofErr w:type="spellEnd"/>
      <w:r w:rsidRPr="00477056">
        <w:rPr>
          <w:rFonts w:ascii="Georgia" w:hAnsi="Georgia"/>
          <w:sz w:val="18"/>
          <w:szCs w:val="20"/>
          <w:rtl/>
        </w:rPr>
        <w:t xml:space="preserve"> שוויוניות בטיפול בילדים ובעבודת הבית </w:t>
      </w:r>
      <w:r w:rsidRPr="00477056">
        <w:rPr>
          <w:rFonts w:ascii="Georgia" w:hAnsi="Georgia"/>
          <w:sz w:val="18"/>
          <w:szCs w:val="20"/>
        </w:rPr>
        <w:t>–</w:t>
      </w:r>
      <w:r w:rsidRPr="00477056">
        <w:rPr>
          <w:rFonts w:ascii="Georgia" w:hAnsi="Georgia"/>
          <w:sz w:val="18"/>
          <w:szCs w:val="20"/>
          <w:rtl/>
        </w:rPr>
        <w:t xml:space="preserve"> בעיקר בקרב זוגות מהמעמד הבינוני (</w:t>
      </w:r>
      <w:proofErr w:type="spellStart"/>
      <w:r w:rsidRPr="00477056">
        <w:rPr>
          <w:rFonts w:ascii="Georgia" w:hAnsi="Georgia"/>
          <w:sz w:val="18"/>
          <w:szCs w:val="20"/>
          <w:rtl/>
        </w:rPr>
        <w:t>ח'ורי</w:t>
      </w:r>
      <w:proofErr w:type="spellEnd"/>
      <w:r w:rsidRPr="00477056">
        <w:rPr>
          <w:rFonts w:ascii="Georgia" w:hAnsi="Georgia"/>
          <w:sz w:val="18"/>
          <w:szCs w:val="20"/>
          <w:rtl/>
        </w:rPr>
        <w:t xml:space="preserve">, 2018; </w:t>
      </w:r>
      <w:proofErr w:type="spellStart"/>
      <w:r w:rsidRPr="00477056">
        <w:rPr>
          <w:rFonts w:ascii="Georgia" w:hAnsi="Georgia"/>
          <w:sz w:val="18"/>
          <w:szCs w:val="20"/>
          <w:rtl/>
        </w:rPr>
        <w:t>ח'ורי</w:t>
      </w:r>
      <w:proofErr w:type="spellEnd"/>
      <w:r w:rsidRPr="00477056">
        <w:rPr>
          <w:rFonts w:ascii="Georgia" w:hAnsi="Georgia"/>
          <w:sz w:val="18"/>
          <w:szCs w:val="20"/>
          <w:rtl/>
        </w:rPr>
        <w:t xml:space="preserve"> ובנימין, 2021). </w:t>
      </w:r>
    </w:p>
    <w:p w14:paraId="1AC1A819"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הדיון הסוציולוגי הביקורתי בחברה הערבית חלחל לתחום העבודה הסוציאלית במידה מועטה בלבד, ולא התפתח דיון בדבר אופייה של התערבות אשר מביאה בחשבון, אלה לצד </w:t>
      </w:r>
      <w:r w:rsidRPr="00477056">
        <w:rPr>
          <w:rFonts w:ascii="Georgia" w:hAnsi="Georgia"/>
          <w:sz w:val="18"/>
          <w:szCs w:val="20"/>
          <w:rtl/>
        </w:rPr>
        <w:lastRenderedPageBreak/>
        <w:t xml:space="preserve">אלה, את הערכים והנורמות המסורתיים, </w:t>
      </w:r>
      <w:proofErr w:type="spellStart"/>
      <w:r w:rsidRPr="00477056">
        <w:rPr>
          <w:rFonts w:ascii="Georgia" w:hAnsi="Georgia"/>
          <w:sz w:val="18"/>
          <w:szCs w:val="20"/>
          <w:rtl/>
        </w:rPr>
        <w:t>הקולקטיביסטיים</w:t>
      </w:r>
      <w:proofErr w:type="spellEnd"/>
      <w:r w:rsidRPr="00477056">
        <w:rPr>
          <w:rFonts w:ascii="Georgia" w:hAnsi="Georgia"/>
          <w:sz w:val="18"/>
          <w:szCs w:val="20"/>
          <w:rtl/>
        </w:rPr>
        <w:t xml:space="preserve"> והפטריארכליים, את ההטרוגניות והדינמיות של החברה הערבית, ואת המציאות הפוליטית-חברתית-כלכלית-מגדרית המעצבת אותה. פרספקטיבה תאורטית משולבת כזו אנו מאמצות במחקר זה.</w:t>
      </w:r>
    </w:p>
    <w:p w14:paraId="13F5C832" w14:textId="77777777" w:rsidR="004F6698" w:rsidRPr="004F6698" w:rsidRDefault="004F6698" w:rsidP="004F6698">
      <w:pPr>
        <w:spacing w:line="280" w:lineRule="exact"/>
        <w:jc w:val="both"/>
        <w:rPr>
          <w:rFonts w:ascii="Georgia" w:hAnsi="Georgia"/>
          <w:sz w:val="18"/>
          <w:szCs w:val="20"/>
          <w:rtl/>
        </w:rPr>
      </w:pPr>
    </w:p>
    <w:p w14:paraId="570DEA1F" w14:textId="77777777" w:rsidR="004F6698" w:rsidRPr="004F6698" w:rsidRDefault="004F6698" w:rsidP="004F6698">
      <w:pPr>
        <w:spacing w:line="280" w:lineRule="exact"/>
        <w:jc w:val="both"/>
        <w:rPr>
          <w:rFonts w:ascii="Georgia" w:hAnsi="Georgia"/>
          <w:sz w:val="18"/>
          <w:szCs w:val="20"/>
          <w:rtl/>
        </w:rPr>
      </w:pPr>
    </w:p>
    <w:p w14:paraId="382D22CE" w14:textId="189C6E00" w:rsidR="00477056" w:rsidRPr="00477056" w:rsidRDefault="00477056" w:rsidP="00477056">
      <w:pPr>
        <w:pStyle w:val="KOT4"/>
        <w:spacing w:after="0"/>
        <w:ind w:left="397" w:right="0" w:hanging="397"/>
        <w:rPr>
          <w:rFonts w:cs="Guttman Aharoni"/>
          <w:color w:val="2A8E8C"/>
          <w:sz w:val="32"/>
          <w:szCs w:val="32"/>
          <w:rtl/>
        </w:rPr>
      </w:pPr>
      <w:r w:rsidRPr="00477056">
        <w:rPr>
          <w:rFonts w:cs="Guttman Aharoni"/>
          <w:color w:val="2A8E8C"/>
          <w:sz w:val="32"/>
          <w:szCs w:val="32"/>
          <w:rtl/>
        </w:rPr>
        <w:t xml:space="preserve">מתודולוגיה </w:t>
      </w:r>
    </w:p>
    <w:p w14:paraId="369D1692" w14:textId="2F0369E0" w:rsidR="00477056" w:rsidRPr="00477056" w:rsidRDefault="00477056" w:rsidP="000D11B6">
      <w:pPr>
        <w:spacing w:after="180" w:line="280" w:lineRule="exact"/>
        <w:jc w:val="both"/>
        <w:rPr>
          <w:rFonts w:ascii="Georgia" w:hAnsi="Georgia"/>
          <w:sz w:val="18"/>
          <w:szCs w:val="20"/>
          <w:rtl/>
        </w:rPr>
      </w:pPr>
      <w:r w:rsidRPr="00477056">
        <w:rPr>
          <w:rFonts w:ascii="Georgia" w:hAnsi="Georgia"/>
          <w:sz w:val="18"/>
          <w:szCs w:val="20"/>
          <w:rtl/>
        </w:rPr>
        <w:t>מטרת המחקר הנוכחי היא לבחון עם אילו אתגרים מתמודדות עובדות סוציאליות במחלקות לשירותים חברתיים בעבודת</w:t>
      </w:r>
      <w:r w:rsidR="000D11B6">
        <w:rPr>
          <w:rFonts w:ascii="Georgia" w:hAnsi="Georgia" w:hint="cs"/>
          <w:sz w:val="18"/>
          <w:szCs w:val="20"/>
          <w:rtl/>
        </w:rPr>
        <w:t>ן</w:t>
      </w:r>
      <w:r w:rsidRPr="00477056">
        <w:rPr>
          <w:rFonts w:ascii="Georgia" w:hAnsi="Georgia"/>
          <w:sz w:val="18"/>
          <w:szCs w:val="20"/>
          <w:rtl/>
        </w:rPr>
        <w:t xml:space="preserve"> עם אנשים בעוני, אילו גורמים מעצבים אותם, ואילו </w:t>
      </w:r>
      <w:proofErr w:type="spellStart"/>
      <w:r w:rsidRPr="00477056">
        <w:rPr>
          <w:rFonts w:ascii="Georgia" w:hAnsi="Georgia"/>
          <w:sz w:val="18"/>
          <w:szCs w:val="20"/>
          <w:rtl/>
        </w:rPr>
        <w:t>פרקטיקות</w:t>
      </w:r>
      <w:proofErr w:type="spellEnd"/>
      <w:r w:rsidRPr="00477056">
        <w:rPr>
          <w:rFonts w:ascii="Georgia" w:hAnsi="Georgia"/>
          <w:sz w:val="18"/>
          <w:szCs w:val="20"/>
          <w:rtl/>
        </w:rPr>
        <w:t xml:space="preserve"> נוקטות העובדות הסוציאליות אל מול האתגרים הללו. אנו מבקשות להבחין </w:t>
      </w:r>
      <w:r w:rsidRPr="00477056">
        <w:rPr>
          <w:rFonts w:ascii="Georgia" w:eastAsia="Calibri" w:hAnsi="Georgia"/>
          <w:sz w:val="18"/>
          <w:szCs w:val="20"/>
          <w:rtl/>
        </w:rPr>
        <w:t xml:space="preserve">בין המשותף לעבודה הסוציאלית בכלל החברה הישראלית לבין הייחודי לעבודה עם פונים מהחברה הערבית, ולזהות את הגורמים המעצבים את האתגרים הייחודיים לחברה הערבית. </w:t>
      </w:r>
      <w:r w:rsidRPr="00477056">
        <w:rPr>
          <w:rFonts w:ascii="Georgia" w:hAnsi="Georgia"/>
          <w:sz w:val="18"/>
          <w:szCs w:val="20"/>
          <w:rtl/>
        </w:rPr>
        <w:t xml:space="preserve">המחקר נערך ב-5 מחלקות לשירותים חברתיים שפועלת בהן </w:t>
      </w:r>
      <w:r w:rsidRPr="00477056">
        <w:rPr>
          <w:rFonts w:ascii="Georgia" w:hAnsi="Georgia"/>
          <w:b/>
          <w:bCs/>
          <w:sz w:val="18"/>
          <w:szCs w:val="20"/>
          <w:rtl/>
        </w:rPr>
        <w:t>נושמים לרווחה במרכזי עוצמה מורחבים</w:t>
      </w:r>
      <w:r w:rsidRPr="00477056">
        <w:rPr>
          <w:rFonts w:ascii="Georgia" w:hAnsi="Georgia"/>
          <w:sz w:val="18"/>
          <w:szCs w:val="20"/>
          <w:rtl/>
        </w:rPr>
        <w:t xml:space="preserve"> </w:t>
      </w:r>
      <w:r w:rsidRPr="00477056">
        <w:rPr>
          <w:rFonts w:ascii="Georgia" w:hAnsi="Georgia"/>
          <w:sz w:val="18"/>
          <w:szCs w:val="20"/>
        </w:rPr>
        <w:t>–</w:t>
      </w:r>
      <w:r w:rsidRPr="00477056">
        <w:rPr>
          <w:rFonts w:ascii="Georgia" w:hAnsi="Georgia"/>
          <w:sz w:val="18"/>
          <w:szCs w:val="20"/>
          <w:rtl/>
        </w:rPr>
        <w:t xml:space="preserve"> תוכנית הדגל של הפרדיגמה של עבודה סוציאלית מודעת-עוני, שמטרתה קידום משפחות בעוני במגוון תחומי חיים, וכן סיוע במיצוי זכויות ופיתוח מענים קהילתיים </w:t>
      </w:r>
      <w:proofErr w:type="spellStart"/>
      <w:r w:rsidRPr="00477056">
        <w:rPr>
          <w:rFonts w:ascii="Georgia" w:hAnsi="Georgia"/>
          <w:sz w:val="18"/>
          <w:szCs w:val="20"/>
          <w:rtl/>
        </w:rPr>
        <w:t>ופרקטיקת</w:t>
      </w:r>
      <w:proofErr w:type="spellEnd"/>
      <w:r w:rsidRPr="00477056">
        <w:rPr>
          <w:rFonts w:ascii="Georgia" w:hAnsi="Georgia"/>
          <w:sz w:val="18"/>
          <w:szCs w:val="20"/>
          <w:rtl/>
        </w:rPr>
        <w:t xml:space="preserve"> מדיניות (</w:t>
      </w:r>
      <w:proofErr w:type="spellStart"/>
      <w:r w:rsidRPr="00477056">
        <w:rPr>
          <w:rFonts w:ascii="Georgia" w:hAnsi="Georgia"/>
          <w:sz w:val="18"/>
          <w:szCs w:val="20"/>
          <w:rtl/>
        </w:rPr>
        <w:t>קרומר</w:t>
      </w:r>
      <w:proofErr w:type="spellEnd"/>
      <w:r w:rsidRPr="00477056">
        <w:rPr>
          <w:rFonts w:ascii="Georgia" w:hAnsi="Georgia"/>
          <w:sz w:val="18"/>
          <w:szCs w:val="20"/>
          <w:rtl/>
        </w:rPr>
        <w:t xml:space="preserve">-נבו ואח', 2019). </w:t>
      </w:r>
    </w:p>
    <w:p w14:paraId="4377C1CB"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היישובים שהמחקר התבצע בהם נבחרו באופן שייתן ביטוי למציאות רבת-הפנים של החברה הערבית: כפר מעורב מוסלמי-נוצרי, כפר בדואי, יישוב גדול מעורב מוסלמי-נוצרי-דרוזי, יישוב גדול מוסלמי, עיר מעורבת יהודית-ערבית. בחירת היישובים ומערך המחקר נקבעו בשותפות עם ועדת היגוי, בהשתתפות נושאי תפקידים בכירים במטה הארצי של משרד הרווחה ובמטה הארצי של תוכנית </w:t>
      </w:r>
      <w:r w:rsidRPr="00477056">
        <w:rPr>
          <w:rFonts w:ascii="Georgia" w:hAnsi="Georgia"/>
          <w:b/>
          <w:bCs/>
          <w:sz w:val="18"/>
          <w:szCs w:val="20"/>
          <w:rtl/>
        </w:rPr>
        <w:t>נושמים לרווחה</w:t>
      </w:r>
      <w:r w:rsidRPr="00477056">
        <w:rPr>
          <w:rFonts w:ascii="Georgia" w:hAnsi="Georgia"/>
          <w:sz w:val="18"/>
          <w:szCs w:val="20"/>
          <w:rtl/>
        </w:rPr>
        <w:t>, וכן נציג של ארגון יהודי-ערבי לשינוי חברתי העוסק בקידום החברה הערבית.</w:t>
      </w:r>
    </w:p>
    <w:p w14:paraId="64527205" w14:textId="5F8B5DAC" w:rsidR="00477056" w:rsidRPr="00477056" w:rsidRDefault="00477056" w:rsidP="00EF498F">
      <w:pPr>
        <w:spacing w:after="180" w:line="280" w:lineRule="exact"/>
        <w:jc w:val="both"/>
        <w:rPr>
          <w:rFonts w:ascii="Georgia" w:hAnsi="Georgia"/>
          <w:sz w:val="18"/>
          <w:szCs w:val="20"/>
          <w:rtl/>
        </w:rPr>
      </w:pPr>
      <w:r w:rsidRPr="00477056">
        <w:rPr>
          <w:rFonts w:ascii="Georgia" w:hAnsi="Georgia"/>
          <w:sz w:val="18"/>
          <w:szCs w:val="20"/>
          <w:rtl/>
        </w:rPr>
        <w:t xml:space="preserve">הפנייה למנהלי המחלקות לשירותים חברתיים להצטרף למחקר נעשתה על ידי </w:t>
      </w:r>
      <w:r w:rsidR="006B6B4A">
        <w:rPr>
          <w:rFonts w:ascii="Georgia" w:hAnsi="Georgia" w:hint="cs"/>
          <w:sz w:val="18"/>
          <w:szCs w:val="20"/>
          <w:rtl/>
        </w:rPr>
        <w:t>2</w:t>
      </w:r>
      <w:r w:rsidR="006B6B4A" w:rsidRPr="00477056">
        <w:rPr>
          <w:rFonts w:ascii="Georgia" w:hAnsi="Georgia"/>
          <w:sz w:val="18"/>
          <w:szCs w:val="20"/>
          <w:rtl/>
        </w:rPr>
        <w:t xml:space="preserve"> </w:t>
      </w:r>
      <w:r w:rsidRPr="00477056">
        <w:rPr>
          <w:rFonts w:ascii="Georgia" w:hAnsi="Georgia"/>
          <w:sz w:val="18"/>
          <w:szCs w:val="20"/>
          <w:rtl/>
        </w:rPr>
        <w:t xml:space="preserve">החוקרות הראשיות. בשלב הראשון פנינו למנהלות של 5 מחלקות, אך 2 מהן לא נענו לפנייתנו בשל עומס מתמשך, מחסור בכוח אדם או מצבי משבר במחלקות. בשלב השני פנינו למנהלות של 2 מחלקות נוספות, והן הביעו רצון להשתתף במחקר. לאחר שנתנו את הסכמתן הראשונית ערכנו עימן פגישות אישיות, ובמהלכן הסברנו להן בפירוט את מטרת המחקר ומהלכו, וכן קיימנו איתן ריאיון. בשלב השלישי נפגשנו בכל מחלקה עם כל הצוות, והסברנו בפירוט את נושא המחקר. לאחר פגישה זו קיבלנו את שמותיהן של עובדות סוציאליות ספציפיות אשר עובדות עם משפחות בעוני, ופנינו אליהן בבקשה להתראיין. המחקר קיבל את אישור ועדת האתיקה של אוניברסיטת בן-גוריון בנגב וכן של משרד הרווחה. כל משתתפי המחקר חתמו על טופס הסכמה מדעת. </w:t>
      </w:r>
    </w:p>
    <w:p w14:paraId="49ED0B86" w14:textId="729CC2F0"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במסגרת המחקר רואיינו בראיונות מובנים למחצה 51 אנשי מקצוע, מהם 4 מנהלי ומנהלות מחלקות לשירותים חברתיים (במחלקה אחת רואיינה ראש צוות שמילאה את מקומו של ראש המחלקה), 7 ראשי צוותים, 34 עובדות סוציאליות ו-6 מלוות בתוכנית </w:t>
      </w:r>
      <w:r w:rsidRPr="00477056">
        <w:rPr>
          <w:rFonts w:ascii="Georgia" w:hAnsi="Georgia"/>
          <w:b/>
          <w:bCs/>
          <w:sz w:val="18"/>
          <w:szCs w:val="20"/>
          <w:rtl/>
        </w:rPr>
        <w:t>נושמים לרווחה</w:t>
      </w:r>
      <w:r w:rsidRPr="00477056">
        <w:rPr>
          <w:rFonts w:ascii="Georgia" w:hAnsi="Georgia"/>
          <w:sz w:val="18"/>
          <w:szCs w:val="20"/>
          <w:rtl/>
        </w:rPr>
        <w:t xml:space="preserve">. </w:t>
      </w:r>
      <w:r w:rsidRPr="00477056">
        <w:rPr>
          <w:rFonts w:ascii="Georgia" w:hAnsi="Georgia"/>
          <w:sz w:val="18"/>
          <w:szCs w:val="20"/>
          <w:rtl/>
        </w:rPr>
        <w:lastRenderedPageBreak/>
        <w:t xml:space="preserve">מרבית המרואיינות הן נשים (86%), כ-70% מהן מוסלמיות, 17% נוצריות, 8% דרוזיות </w:t>
      </w:r>
      <w:r w:rsidR="00DA0DE3">
        <w:rPr>
          <w:rFonts w:ascii="Georgia" w:hAnsi="Georgia"/>
          <w:sz w:val="18"/>
          <w:szCs w:val="20"/>
          <w:rtl/>
        </w:rPr>
        <w:br/>
      </w:r>
      <w:r w:rsidRPr="00477056">
        <w:rPr>
          <w:rFonts w:ascii="Georgia" w:hAnsi="Georgia"/>
          <w:sz w:val="18"/>
          <w:szCs w:val="20"/>
          <w:rtl/>
        </w:rPr>
        <w:t>ו-5% יהודיות. הגיל הממוצע של המרואיינות הוא 36.8 שנים (טווח 24</w:t>
      </w:r>
      <w:r w:rsidRPr="00477056">
        <w:rPr>
          <w:rFonts w:ascii="Georgia" w:hAnsi="Georgia"/>
          <w:sz w:val="18"/>
          <w:szCs w:val="20"/>
        </w:rPr>
        <w:t>–</w:t>
      </w:r>
      <w:r w:rsidRPr="00477056">
        <w:rPr>
          <w:rFonts w:ascii="Georgia" w:hAnsi="Georgia"/>
          <w:sz w:val="18"/>
          <w:szCs w:val="20"/>
          <w:rtl/>
        </w:rPr>
        <w:t>61, ס"ת 8.5), והוותק המקצועי הממוצע עמד על 11.8 שנים (טווח 0.2</w:t>
      </w:r>
      <w:r w:rsidRPr="00477056">
        <w:rPr>
          <w:rFonts w:ascii="Georgia" w:hAnsi="Georgia"/>
          <w:sz w:val="18"/>
          <w:szCs w:val="20"/>
        </w:rPr>
        <w:t>–</w:t>
      </w:r>
      <w:r w:rsidRPr="00477056">
        <w:rPr>
          <w:rFonts w:ascii="Georgia" w:hAnsi="Georgia"/>
          <w:sz w:val="18"/>
          <w:szCs w:val="20"/>
          <w:rtl/>
        </w:rPr>
        <w:t xml:space="preserve">35, ס"ת 8.9). יותר מ-40% מהמרואיינות הן בעלות תואר שני. </w:t>
      </w:r>
    </w:p>
    <w:p w14:paraId="25DFE820" w14:textId="77777777" w:rsidR="00477056" w:rsidRPr="00477056" w:rsidRDefault="00477056" w:rsidP="00477056">
      <w:pPr>
        <w:spacing w:after="180" w:line="280" w:lineRule="exact"/>
        <w:jc w:val="both"/>
        <w:rPr>
          <w:rFonts w:ascii="Georgia" w:hAnsi="Georgia"/>
          <w:sz w:val="18"/>
          <w:szCs w:val="20"/>
        </w:rPr>
      </w:pPr>
      <w:r w:rsidRPr="00477056">
        <w:rPr>
          <w:rFonts w:ascii="Georgia" w:hAnsi="Georgia"/>
          <w:sz w:val="18"/>
          <w:szCs w:val="20"/>
          <w:rtl/>
        </w:rPr>
        <w:t xml:space="preserve">הראיונות התקיימו מדצמבר 2020 עד אוגוסט 2021, והתבססו על מדריך ריאיון שפותח בשיתוף עם עובדות סוציאליות ועם ועדת ההיגוי. בין השאלות שנשאלו: "ספרי לי על עבודתך עם משפחות החיות בעוני ותארי את המפגשים איתם"; "מתוך ניסיונך, מהם האתגרים/החסמים העיקריים שאיתם מתמודדות משפחות החיות בעוני ביישוב שבו את עובדת?"; "האם תוכלי לתאר משפחה שלא הצלחת לסייע לה? מה היו הקשיים? איך התמודדת?" </w:t>
      </w:r>
    </w:p>
    <w:p w14:paraId="19D8E24D" w14:textId="633422C5" w:rsidR="00477056" w:rsidRPr="00477056" w:rsidRDefault="00477056" w:rsidP="000D11B6">
      <w:pPr>
        <w:spacing w:after="180" w:line="280" w:lineRule="exact"/>
        <w:jc w:val="both"/>
        <w:rPr>
          <w:rFonts w:ascii="Georgia" w:hAnsi="Georgia"/>
          <w:sz w:val="18"/>
          <w:szCs w:val="20"/>
          <w:rtl/>
        </w:rPr>
      </w:pPr>
      <w:r w:rsidRPr="00477056">
        <w:rPr>
          <w:rFonts w:ascii="Georgia" w:hAnsi="Georgia"/>
          <w:sz w:val="18"/>
          <w:szCs w:val="20"/>
          <w:rtl/>
        </w:rPr>
        <w:t>הראיונות עם מנהלות המחלקות לשירותים חברתיים התקיימו בעברית, ונעשו על ידי 2</w:t>
      </w:r>
      <w:r w:rsidR="006B6B4A">
        <w:rPr>
          <w:rFonts w:ascii="Georgia" w:hAnsi="Georgia" w:hint="cs"/>
          <w:sz w:val="18"/>
          <w:szCs w:val="20"/>
          <w:rtl/>
        </w:rPr>
        <w:t xml:space="preserve"> </w:t>
      </w:r>
      <w:r w:rsidRPr="00477056">
        <w:rPr>
          <w:rFonts w:ascii="Georgia" w:hAnsi="Georgia"/>
          <w:sz w:val="18"/>
          <w:szCs w:val="20"/>
          <w:rtl/>
        </w:rPr>
        <w:t xml:space="preserve">הכותבות הראשונות. כל שאר הראיונות </w:t>
      </w:r>
      <w:r w:rsidR="000D11B6">
        <w:rPr>
          <w:rFonts w:ascii="Georgia" w:hAnsi="Georgia" w:hint="cs"/>
          <w:sz w:val="18"/>
          <w:szCs w:val="20"/>
          <w:rtl/>
        </w:rPr>
        <w:t xml:space="preserve">התבצעו </w:t>
      </w:r>
      <w:r w:rsidRPr="00477056">
        <w:rPr>
          <w:rFonts w:ascii="Georgia" w:hAnsi="Georgia"/>
          <w:sz w:val="18"/>
          <w:szCs w:val="20"/>
          <w:rtl/>
        </w:rPr>
        <w:t xml:space="preserve">על ידי הכותבת הראשונה בערבית, מלבד 2 שנערכו בעברית. רוב הראיונות נערכו פנים אל פנים, ומיעוטם בזום. כל הראיונות הוקלטו, בהסכמת המרואיינות. עובדות סוציאליות הבקיאות בערבית ובעברית קיבלו הכשרה מצוות המחקר, שִׁקלטו את הראיונות ותרגמו אותם לעברית. הכותבת הראשונה סקרה את </w:t>
      </w:r>
      <w:proofErr w:type="spellStart"/>
      <w:r w:rsidRPr="00477056">
        <w:rPr>
          <w:rFonts w:ascii="Georgia" w:hAnsi="Georgia"/>
          <w:sz w:val="18"/>
          <w:szCs w:val="20"/>
          <w:rtl/>
        </w:rPr>
        <w:t>השִׁקלוטים</w:t>
      </w:r>
      <w:proofErr w:type="spellEnd"/>
      <w:r w:rsidRPr="00477056">
        <w:rPr>
          <w:rFonts w:ascii="Georgia" w:hAnsi="Georgia"/>
          <w:sz w:val="18"/>
          <w:szCs w:val="20"/>
          <w:rtl/>
        </w:rPr>
        <w:t xml:space="preserve"> ווידאה שהתרגום אמין. כדי לשמור על הפרטיות של משתתפי המחקר שונו או נמחקו כל הפרטים המזהים של המרואיינות ושל משפחות שהוזכרו בראיונות, וכן שמות היישובים שהשתתפו במחקר. </w:t>
      </w:r>
    </w:p>
    <w:p w14:paraId="4BDB9DCC" w14:textId="77777777" w:rsidR="004F6698" w:rsidRPr="004F6698" w:rsidRDefault="004F6698" w:rsidP="004F6698">
      <w:pPr>
        <w:spacing w:line="280" w:lineRule="exact"/>
        <w:jc w:val="both"/>
        <w:rPr>
          <w:rFonts w:ascii="Georgia" w:hAnsi="Georgia"/>
          <w:sz w:val="18"/>
          <w:szCs w:val="20"/>
          <w:rtl/>
        </w:rPr>
      </w:pPr>
    </w:p>
    <w:p w14:paraId="43418296" w14:textId="77777777" w:rsidR="004F6698" w:rsidRPr="004F6698" w:rsidRDefault="004F6698" w:rsidP="004F6698">
      <w:pPr>
        <w:spacing w:line="280" w:lineRule="exact"/>
        <w:jc w:val="both"/>
        <w:rPr>
          <w:rFonts w:ascii="Georgia" w:hAnsi="Georgia"/>
          <w:sz w:val="18"/>
          <w:szCs w:val="20"/>
          <w:rtl/>
        </w:rPr>
      </w:pPr>
    </w:p>
    <w:p w14:paraId="1845389A" w14:textId="4434A61B" w:rsidR="00477056" w:rsidRPr="00477056" w:rsidRDefault="00477056" w:rsidP="00477056">
      <w:pPr>
        <w:pStyle w:val="KOT4"/>
        <w:spacing w:after="0"/>
        <w:ind w:left="397" w:right="0" w:hanging="397"/>
        <w:rPr>
          <w:rFonts w:cs="Guttman Aharoni"/>
          <w:color w:val="2A8E8C"/>
          <w:sz w:val="32"/>
          <w:szCs w:val="32"/>
          <w:rtl/>
        </w:rPr>
      </w:pPr>
      <w:r w:rsidRPr="00477056">
        <w:rPr>
          <w:rFonts w:cs="Guttman Aharoni"/>
          <w:color w:val="2A8E8C"/>
          <w:sz w:val="32"/>
          <w:szCs w:val="32"/>
          <w:rtl/>
        </w:rPr>
        <w:t xml:space="preserve">ממצאים </w:t>
      </w:r>
    </w:p>
    <w:p w14:paraId="329928B7"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הנתונים נותחו בניתוח תמטי, בארבעה שלבים (</w:t>
      </w:r>
      <w:r w:rsidRPr="00477056">
        <w:rPr>
          <w:rFonts w:ascii="Georgia" w:hAnsi="Georgia"/>
          <w:sz w:val="18"/>
          <w:szCs w:val="20"/>
        </w:rPr>
        <w:t>Braun &amp; Clarke, 2006</w:t>
      </w:r>
      <w:r w:rsidRPr="00477056">
        <w:rPr>
          <w:rFonts w:ascii="Georgia" w:hAnsi="Georgia"/>
          <w:sz w:val="18"/>
          <w:szCs w:val="20"/>
          <w:rtl/>
        </w:rPr>
        <w:t xml:space="preserve">): בשלב הראשון החוקרת השנייה קראה את כל </w:t>
      </w:r>
      <w:proofErr w:type="spellStart"/>
      <w:r w:rsidRPr="00477056">
        <w:rPr>
          <w:rFonts w:ascii="Georgia" w:hAnsi="Georgia"/>
          <w:sz w:val="18"/>
          <w:szCs w:val="20"/>
          <w:rtl/>
        </w:rPr>
        <w:t>השִׁקלוטים</w:t>
      </w:r>
      <w:proofErr w:type="spellEnd"/>
      <w:r w:rsidRPr="00477056">
        <w:rPr>
          <w:rFonts w:ascii="Georgia" w:hAnsi="Georgia"/>
          <w:sz w:val="18"/>
          <w:szCs w:val="20"/>
          <w:rtl/>
        </w:rPr>
        <w:t>, כתבה הערות ראשוניות וניתחה אותם באופן פתוח. בשלב השני קראו 2 החוקרות הנוספות כמה ראיונות, ובדיון משותף הסכימו על התמות ועל יחידות המשמעות המרכזיות. בשלב השלישי נותחו הראיונות בצורה מפורטת בהתאם לתמות וליחידות המשמעות שנקבעו, תוך כדי השוואה מתמדת בין ראיונות. בדיונים שקיימו החוקרות חודדו התמות ויחידות המשמעות.</w:t>
      </w:r>
      <w:r w:rsidRPr="00477056">
        <w:rPr>
          <w:rFonts w:ascii="Georgia" w:hAnsi="Georgia"/>
          <w:sz w:val="18"/>
          <w:szCs w:val="20"/>
        </w:rPr>
        <w:t xml:space="preserve"> </w:t>
      </w:r>
      <w:r w:rsidRPr="00477056">
        <w:rPr>
          <w:rFonts w:ascii="Georgia" w:hAnsi="Georgia"/>
          <w:sz w:val="18"/>
          <w:szCs w:val="20"/>
          <w:rtl/>
        </w:rPr>
        <w:t>בשלב הרביעי קובצו תמות שונות יחד כדי ליצור את הניתוח הסופי. עץ הקטגוריות שזיהינו מתואר באיור 1.</w:t>
      </w:r>
    </w:p>
    <w:p w14:paraId="38BBB3DF" w14:textId="77777777" w:rsidR="00477056" w:rsidRPr="004F6698" w:rsidRDefault="00477056" w:rsidP="004F6698">
      <w:pPr>
        <w:pStyle w:val="tab-name"/>
        <w:spacing w:before="300" w:line="260" w:lineRule="exact"/>
        <w:ind w:right="0"/>
        <w:rPr>
          <w:rFonts w:cs="Guttman Aharoni"/>
          <w:color w:val="BA2A16"/>
          <w:sz w:val="20"/>
          <w:szCs w:val="20"/>
          <w:rtl/>
        </w:rPr>
      </w:pPr>
      <w:r w:rsidRPr="004F6698">
        <w:rPr>
          <w:rFonts w:cs="Guttman Aharoni"/>
          <w:color w:val="BA2A16"/>
          <w:sz w:val="20"/>
          <w:szCs w:val="20"/>
          <w:rtl/>
        </w:rPr>
        <w:lastRenderedPageBreak/>
        <w:t xml:space="preserve">איור 1: תמות וקטגוריות </w:t>
      </w:r>
    </w:p>
    <w:p w14:paraId="13F03F1E" w14:textId="34324858" w:rsidR="00477056" w:rsidRPr="00477056" w:rsidRDefault="00DB39F5" w:rsidP="004F6698">
      <w:pPr>
        <w:spacing w:after="180" w:line="240" w:lineRule="atLeast"/>
        <w:jc w:val="center"/>
        <w:rPr>
          <w:rFonts w:ascii="Georgia" w:hAnsi="Georgia"/>
          <w:sz w:val="18"/>
          <w:szCs w:val="20"/>
          <w:rtl/>
        </w:rPr>
      </w:pPr>
      <w:r>
        <w:rPr>
          <w:rFonts w:ascii="Georgia" w:hAnsi="Georgia"/>
          <w:noProof/>
          <w:sz w:val="18"/>
          <w:szCs w:val="20"/>
        </w:rPr>
        <w:drawing>
          <wp:inline distT="0" distB="0" distL="0" distR="0" wp14:anchorId="590F11BC" wp14:editId="091CE2B7">
            <wp:extent cx="4102735" cy="1256665"/>
            <wp:effectExtent l="0" t="0" r="0" b="0"/>
            <wp:docPr id="4" name="תמונה 1" descr="קרומ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קרומ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2735" cy="1256665"/>
                    </a:xfrm>
                    <a:prstGeom prst="rect">
                      <a:avLst/>
                    </a:prstGeom>
                    <a:noFill/>
                    <a:ln>
                      <a:noFill/>
                    </a:ln>
                  </pic:spPr>
                </pic:pic>
              </a:graphicData>
            </a:graphic>
          </wp:inline>
        </w:drawing>
      </w:r>
    </w:p>
    <w:p w14:paraId="02B211DB"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נפתח את תיאור הממצאים בהצגת האתגרים המשותפים לעובדות סוציאליות בחברה הישראלית, ונמשיך בתיאור האתגרים הייחודיים לעובדות סוציאליות המטפלות במשפחות בעוני בחברה הערבית. התמות המציינות את האתגרים הייחודיים נבנו סביב ההקשרים התרבותיים או החברתיים שעיצבו אותם. עבור כל אתגר ייחודי נתאר את </w:t>
      </w:r>
      <w:proofErr w:type="spellStart"/>
      <w:r w:rsidRPr="00477056">
        <w:rPr>
          <w:rFonts w:ascii="Georgia" w:hAnsi="Georgia"/>
          <w:sz w:val="18"/>
          <w:szCs w:val="20"/>
          <w:rtl/>
        </w:rPr>
        <w:t>הפרקטיקות</w:t>
      </w:r>
      <w:proofErr w:type="spellEnd"/>
      <w:r w:rsidRPr="00477056">
        <w:rPr>
          <w:rFonts w:ascii="Georgia" w:hAnsi="Georgia"/>
          <w:sz w:val="18"/>
          <w:szCs w:val="20"/>
          <w:rtl/>
        </w:rPr>
        <w:t xml:space="preserve"> שנוקטות העובדות הסוציאליות כדי להתמודד עימו. </w:t>
      </w:r>
    </w:p>
    <w:p w14:paraId="28CE459B" w14:textId="77777777" w:rsidR="004F6698" w:rsidRPr="004F6698" w:rsidRDefault="004F6698" w:rsidP="004F6698">
      <w:pPr>
        <w:spacing w:line="280" w:lineRule="exact"/>
        <w:jc w:val="both"/>
        <w:rPr>
          <w:rFonts w:ascii="Georgia" w:hAnsi="Georgia"/>
          <w:sz w:val="18"/>
          <w:szCs w:val="20"/>
          <w:rtl/>
        </w:rPr>
      </w:pPr>
    </w:p>
    <w:p w14:paraId="0121C465" w14:textId="58FC2426" w:rsidR="00477056" w:rsidRPr="00477056" w:rsidRDefault="00477056" w:rsidP="00477056">
      <w:pPr>
        <w:pStyle w:val="KOT5"/>
        <w:spacing w:after="0"/>
        <w:ind w:right="0"/>
        <w:outlineLvl w:val="2"/>
        <w:rPr>
          <w:rFonts w:cs="Guttman Aharoni"/>
          <w:color w:val="BA2A16"/>
          <w:rtl/>
        </w:rPr>
      </w:pPr>
      <w:r w:rsidRPr="00477056">
        <w:rPr>
          <w:rFonts w:cs="Guttman Aharoni"/>
          <w:color w:val="BA2A16"/>
          <w:rtl/>
        </w:rPr>
        <w:t xml:space="preserve">אתגרים אוניברסליים </w:t>
      </w:r>
    </w:p>
    <w:p w14:paraId="077803F1"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המרואיינות תיארו 2 אתגרים מרכזיים המשותפים לכלל שירותי הרווחה בישראל: בתחום החומרי – קושי להיענות לצרכים חומריים, ובתחום הטיפולי – קושי להתמודד עם התנהגות של הפונים שהעובדת הסוציאלית תופסת כבלתי אדפטיבית. </w:t>
      </w:r>
    </w:p>
    <w:p w14:paraId="0C511292" w14:textId="77777777" w:rsidR="004F6698" w:rsidRPr="004F6698" w:rsidRDefault="004F6698" w:rsidP="004F6698">
      <w:pPr>
        <w:spacing w:line="280" w:lineRule="exact"/>
        <w:jc w:val="both"/>
        <w:rPr>
          <w:rFonts w:ascii="Georgia" w:hAnsi="Georgia"/>
          <w:sz w:val="18"/>
          <w:szCs w:val="20"/>
          <w:rtl/>
        </w:rPr>
      </w:pPr>
    </w:p>
    <w:p w14:paraId="710E30F9" w14:textId="2B101EE9" w:rsidR="00477056" w:rsidRPr="00477056" w:rsidRDefault="00477056" w:rsidP="00477056">
      <w:pPr>
        <w:keepNext/>
        <w:keepLines/>
        <w:spacing w:line="280" w:lineRule="exact"/>
        <w:jc w:val="both"/>
        <w:outlineLvl w:val="3"/>
        <w:rPr>
          <w:b/>
          <w:bCs/>
          <w:color w:val="BA2A16"/>
          <w:sz w:val="20"/>
          <w:szCs w:val="22"/>
          <w:rtl/>
        </w:rPr>
      </w:pPr>
      <w:r w:rsidRPr="00477056">
        <w:rPr>
          <w:b/>
          <w:bCs/>
          <w:color w:val="BA2A16"/>
          <w:sz w:val="20"/>
          <w:szCs w:val="22"/>
          <w:rtl/>
        </w:rPr>
        <w:t xml:space="preserve">אתגרים אוניברסליים בתחום החומרי </w:t>
      </w:r>
    </w:p>
    <w:p w14:paraId="4879B7BE" w14:textId="2460A2D4" w:rsidR="00477056" w:rsidRPr="00477056" w:rsidRDefault="00477056" w:rsidP="00EF498F">
      <w:pPr>
        <w:spacing w:after="180" w:line="280" w:lineRule="exact"/>
        <w:jc w:val="both"/>
        <w:rPr>
          <w:rFonts w:ascii="Georgia" w:hAnsi="Georgia"/>
          <w:sz w:val="18"/>
          <w:szCs w:val="20"/>
          <w:rtl/>
        </w:rPr>
      </w:pPr>
      <w:r w:rsidRPr="00477056">
        <w:rPr>
          <w:rFonts w:ascii="Georgia" w:hAnsi="Georgia"/>
          <w:sz w:val="18"/>
          <w:szCs w:val="20"/>
          <w:rtl/>
        </w:rPr>
        <w:t xml:space="preserve">הקושי להיענות לצרכים חומריים קשור ב-3 גורמים. הראשון שבהם הוא המחסור במענים ובתקציב גמיש. אומנם בתוכנית </w:t>
      </w:r>
      <w:r w:rsidRPr="00477056">
        <w:rPr>
          <w:rFonts w:ascii="Georgia" w:hAnsi="Georgia"/>
          <w:b/>
          <w:bCs/>
          <w:sz w:val="18"/>
          <w:szCs w:val="20"/>
          <w:rtl/>
        </w:rPr>
        <w:t>נושמים לרווחה</w:t>
      </w:r>
      <w:r w:rsidRPr="00477056">
        <w:rPr>
          <w:rFonts w:ascii="Georgia" w:hAnsi="Georgia"/>
          <w:sz w:val="18"/>
          <w:szCs w:val="20"/>
          <w:rtl/>
        </w:rPr>
        <w:t xml:space="preserve"> ובתוכניות אחרות הפועלות על פי העקרונות של עבודה סוציאלית מודעת-עוני יש תקציב גמיש, והוא מיועד, בין היתר, לסיפוק צרכים חומריים, אולם מרבית הפונים ומרבית העובדות הסוציאליות אינ</w:t>
      </w:r>
      <w:r w:rsidR="009B18A6">
        <w:rPr>
          <w:rFonts w:ascii="Georgia" w:hAnsi="Georgia" w:hint="cs"/>
          <w:sz w:val="18"/>
          <w:szCs w:val="20"/>
          <w:rtl/>
        </w:rPr>
        <w:t>ם נהנים</w:t>
      </w:r>
      <w:r w:rsidRPr="00477056">
        <w:rPr>
          <w:rFonts w:ascii="Georgia" w:hAnsi="Georgia"/>
          <w:sz w:val="18"/>
          <w:szCs w:val="20"/>
          <w:rtl/>
        </w:rPr>
        <w:t xml:space="preserve"> מתקציב כזה. חוסר זה משותף לעובדות סוציאליות במחלקות לשירותים חברתיים בכלל החברה הישראלית.</w:t>
      </w:r>
      <w:r w:rsidRPr="00477056">
        <w:rPr>
          <w:rStyle w:val="FootnoteReference"/>
          <w:rFonts w:ascii="Georgia" w:hAnsi="Georgia"/>
          <w:sz w:val="18"/>
          <w:szCs w:val="20"/>
          <w:rtl/>
        </w:rPr>
        <w:footnoteReference w:id="7"/>
      </w:r>
      <w:r w:rsidRPr="00477056">
        <w:rPr>
          <w:rFonts w:ascii="Georgia" w:hAnsi="Georgia"/>
          <w:sz w:val="18"/>
          <w:szCs w:val="20"/>
          <w:rtl/>
        </w:rPr>
        <w:t xml:space="preserve"> </w:t>
      </w:r>
    </w:p>
    <w:p w14:paraId="008AD476"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הגורם השני לקושי להיענות לבקשות חומריות קשור למצבים שבהם העובדים מסרבים לתביעתם של הפונים לסיוע חומרי. לדוגמה, עובדת סוציאלית מספרת כי אינה מסכימה לטענתם של פונים כי זכותם לקבל מענה חומרי דוגמת תווי קנייה. בפרט נכון הדבר כאשר לדעת העובדת מצבם אינו מצדיק זאת: "יש לי לקוחה שאומרת לי 'זה מגיע לי אפילו שיש לי </w:t>
      </w:r>
      <w:r w:rsidRPr="00477056">
        <w:rPr>
          <w:rFonts w:ascii="Georgia" w:hAnsi="Georgia"/>
          <w:sz w:val="18"/>
          <w:szCs w:val="20"/>
          <w:rtl/>
        </w:rPr>
        <w:lastRenderedPageBreak/>
        <w:t>[...] כמו שמגיע לי חופשת לידה מביטוח לאומי'. הם רואים שהרווחה היא הממסד ומחלקת תווי קנייה וזה מגיע להם. זה לא עוני, זה הזכות שלי" (</w:t>
      </w:r>
      <w:proofErr w:type="spellStart"/>
      <w:r w:rsidRPr="00477056">
        <w:rPr>
          <w:rFonts w:ascii="Georgia" w:hAnsi="Georgia"/>
          <w:sz w:val="18"/>
          <w:szCs w:val="20"/>
          <w:rtl/>
        </w:rPr>
        <w:t>עאידה</w:t>
      </w:r>
      <w:proofErr w:type="spellEnd"/>
      <w:r w:rsidRPr="00477056">
        <w:rPr>
          <w:rFonts w:ascii="Georgia" w:hAnsi="Georgia"/>
          <w:sz w:val="18"/>
          <w:szCs w:val="20"/>
          <w:rtl/>
        </w:rPr>
        <w:t>, עו"ס).</w:t>
      </w:r>
    </w:p>
    <w:p w14:paraId="69055D93"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הגורם השלישי לקושי להיענות לצרכים חומריים קשור לאופי הקהילתי של היישובים בחברה הערבית. בקהילות קטנות, שבין חבריהן יש גם קשרי משפחה, מענה חומרי הניתן לפונה אחד מביא אחריו פניות של אחרים, המבקשים את אותו מענה. הדבר נכון גם בקהילות קטנות בחברה היהודית. התוצאה היא שעובדות סוציאליות מביאות בחשבון את הקשרים המשפחתיים הרחבים של הפונה בהחלטה אם להעניק לו סיוע חומרי. </w:t>
      </w:r>
    </w:p>
    <w:p w14:paraId="0DE3BEC7" w14:textId="66C67438" w:rsidR="00477056" w:rsidRPr="00477056" w:rsidRDefault="00477056" w:rsidP="00EF498F">
      <w:pPr>
        <w:pStyle w:val="ListParagraph"/>
        <w:spacing w:before="120" w:after="180" w:line="240" w:lineRule="exact"/>
        <w:ind w:left="567"/>
        <w:jc w:val="both"/>
        <w:rPr>
          <w:rFonts w:ascii="Georgia" w:hAnsi="Georgia" w:cs="David"/>
          <w:i/>
          <w:iCs/>
          <w:sz w:val="18"/>
          <w:szCs w:val="20"/>
          <w:rtl/>
        </w:rPr>
      </w:pPr>
      <w:r w:rsidRPr="00477056">
        <w:rPr>
          <w:rFonts w:ascii="Georgia" w:hAnsi="Georgia" w:cs="David"/>
          <w:sz w:val="18"/>
          <w:szCs w:val="20"/>
          <w:rtl/>
        </w:rPr>
        <w:t xml:space="preserve">מגיעה האימא אליי, הגיסה שלה הולכת לעובדת סוציאלית ואומרת לה, </w:t>
      </w:r>
      <w:r w:rsidR="009B18A6">
        <w:rPr>
          <w:rFonts w:ascii="Georgia" w:hAnsi="Georgia" w:cs="David" w:hint="cs"/>
          <w:sz w:val="18"/>
          <w:szCs w:val="20"/>
          <w:rtl/>
        </w:rPr>
        <w:t>"</w:t>
      </w:r>
      <w:proofErr w:type="spellStart"/>
      <w:r w:rsidR="009B18A6" w:rsidRPr="00477056">
        <w:rPr>
          <w:rFonts w:ascii="Georgia" w:hAnsi="Georgia" w:cs="David"/>
          <w:sz w:val="18"/>
          <w:szCs w:val="20"/>
          <w:rtl/>
        </w:rPr>
        <w:t>עאידה</w:t>
      </w:r>
      <w:proofErr w:type="spellEnd"/>
      <w:r w:rsidR="009B18A6" w:rsidRPr="00477056">
        <w:rPr>
          <w:rFonts w:ascii="Georgia" w:hAnsi="Georgia" w:cs="David"/>
          <w:sz w:val="18"/>
          <w:szCs w:val="20"/>
          <w:rtl/>
        </w:rPr>
        <w:t xml:space="preserve"> </w:t>
      </w:r>
      <w:r w:rsidRPr="00477056">
        <w:rPr>
          <w:rFonts w:ascii="Georgia" w:hAnsi="Georgia" w:cs="David"/>
          <w:sz w:val="18"/>
          <w:szCs w:val="20"/>
          <w:rtl/>
        </w:rPr>
        <w:t>נתנה לגיסה שלי כרטיס</w:t>
      </w:r>
      <w:r w:rsidR="009B18A6">
        <w:rPr>
          <w:rFonts w:ascii="Georgia" w:hAnsi="Georgia" w:cs="David" w:hint="cs"/>
          <w:sz w:val="18"/>
          <w:szCs w:val="20"/>
          <w:rtl/>
        </w:rPr>
        <w:t>"</w:t>
      </w:r>
      <w:r w:rsidRPr="00477056">
        <w:rPr>
          <w:rFonts w:ascii="Georgia" w:hAnsi="Georgia" w:cs="David"/>
          <w:sz w:val="18"/>
          <w:szCs w:val="20"/>
          <w:rtl/>
        </w:rPr>
        <w:t>. אז גם בין העובדים יש בלבול עד כדי כך שאנחנו יושבים ומדברים על תקציב, מחליטים לא לתת למשפחה הזאת, כי הם אומרים אחד לשני [...] הגענו למצב שאנחנו מחליטים למי לתת תקציב כדי לא להיכנס לבעיות (</w:t>
      </w:r>
      <w:proofErr w:type="spellStart"/>
      <w:r w:rsidRPr="00477056">
        <w:rPr>
          <w:rFonts w:ascii="Georgia" w:hAnsi="Georgia" w:cs="David"/>
          <w:sz w:val="18"/>
          <w:szCs w:val="20"/>
          <w:rtl/>
        </w:rPr>
        <w:t>עאידה</w:t>
      </w:r>
      <w:proofErr w:type="spellEnd"/>
      <w:r w:rsidRPr="00477056">
        <w:rPr>
          <w:rFonts w:ascii="Georgia" w:hAnsi="Georgia" w:cs="David"/>
          <w:sz w:val="18"/>
          <w:szCs w:val="20"/>
          <w:rtl/>
        </w:rPr>
        <w:t>, עו"ס).</w:t>
      </w:r>
    </w:p>
    <w:p w14:paraId="751A8639" w14:textId="3B046DD0" w:rsidR="00477056" w:rsidRPr="00477056" w:rsidRDefault="00477056" w:rsidP="00EF498F">
      <w:pPr>
        <w:pStyle w:val="ListParagraph"/>
        <w:spacing w:before="120" w:after="180" w:line="240" w:lineRule="exact"/>
        <w:ind w:left="567"/>
        <w:jc w:val="both"/>
        <w:rPr>
          <w:rFonts w:ascii="Georgia" w:hAnsi="Georgia" w:cs="David"/>
          <w:i/>
          <w:iCs/>
          <w:sz w:val="18"/>
          <w:szCs w:val="20"/>
          <w:rtl/>
        </w:rPr>
      </w:pPr>
      <w:r w:rsidRPr="00477056">
        <w:rPr>
          <w:rFonts w:ascii="Georgia" w:hAnsi="Georgia" w:cs="David"/>
          <w:sz w:val="18"/>
          <w:szCs w:val="20"/>
          <w:rtl/>
        </w:rPr>
        <w:t xml:space="preserve">אם אני מחלקת שוברי מזון, אני מצפה לקבל חמישה טלפונים [...] </w:t>
      </w:r>
      <w:r w:rsidR="009B18A6">
        <w:rPr>
          <w:rFonts w:ascii="Georgia" w:hAnsi="Georgia" w:cs="David" w:hint="cs"/>
          <w:sz w:val="18"/>
          <w:szCs w:val="20"/>
          <w:rtl/>
        </w:rPr>
        <w:t>"</w:t>
      </w:r>
      <w:r w:rsidR="009B18A6" w:rsidRPr="00477056">
        <w:rPr>
          <w:rFonts w:ascii="Georgia" w:hAnsi="Georgia" w:cs="David"/>
          <w:sz w:val="18"/>
          <w:szCs w:val="20"/>
          <w:rtl/>
        </w:rPr>
        <w:t xml:space="preserve">למה </w:t>
      </w:r>
      <w:r w:rsidRPr="00477056">
        <w:rPr>
          <w:rFonts w:ascii="Georgia" w:hAnsi="Georgia" w:cs="David"/>
          <w:sz w:val="18"/>
          <w:szCs w:val="20"/>
          <w:rtl/>
        </w:rPr>
        <w:t>זה לקח ואני לא קיבלתי [...] למה נתת לזה ואני לא, מה הוא יותר טוב ממני?</w:t>
      </w:r>
      <w:r w:rsidR="009B18A6">
        <w:rPr>
          <w:rFonts w:ascii="Georgia" w:hAnsi="Georgia" w:cs="David" w:hint="cs"/>
          <w:sz w:val="18"/>
          <w:szCs w:val="20"/>
          <w:rtl/>
        </w:rPr>
        <w:t>"</w:t>
      </w:r>
      <w:r w:rsidR="009B18A6" w:rsidRPr="00477056">
        <w:rPr>
          <w:rFonts w:ascii="Georgia" w:hAnsi="Georgia" w:cs="David"/>
          <w:sz w:val="18"/>
          <w:szCs w:val="20"/>
          <w:rtl/>
        </w:rPr>
        <w:t xml:space="preserve"> </w:t>
      </w:r>
      <w:r w:rsidRPr="00477056">
        <w:rPr>
          <w:rFonts w:ascii="Georgia" w:hAnsi="Georgia" w:cs="David"/>
          <w:sz w:val="18"/>
          <w:szCs w:val="20"/>
          <w:rtl/>
        </w:rPr>
        <w:t>אז אומרים אחד לשני. אין סודיות, למרות שאני מנסה שיהיה ביני לבין המטופל קשר ורקע סודי (אסמא, עו"ס).</w:t>
      </w:r>
    </w:p>
    <w:p w14:paraId="159C1FD0" w14:textId="1CD4B273" w:rsidR="00477056" w:rsidRPr="004F6698" w:rsidRDefault="00477056" w:rsidP="00EF498F">
      <w:pPr>
        <w:spacing w:after="180" w:line="280" w:lineRule="exact"/>
        <w:jc w:val="both"/>
        <w:rPr>
          <w:rFonts w:ascii="Georgia" w:hAnsi="Georgia"/>
          <w:spacing w:val="2"/>
          <w:sz w:val="18"/>
          <w:szCs w:val="20"/>
          <w:rtl/>
        </w:rPr>
      </w:pPr>
      <w:r w:rsidRPr="004F6698">
        <w:rPr>
          <w:rFonts w:ascii="Georgia" w:hAnsi="Georgia"/>
          <w:spacing w:val="2"/>
          <w:sz w:val="18"/>
          <w:szCs w:val="20"/>
          <w:rtl/>
        </w:rPr>
        <w:t xml:space="preserve">מצב דברים זה יכול להביא למתח בין חברות לצוות, במקרה שניתן סיוע חומרי למשפחה שההחלטה המשותפת </w:t>
      </w:r>
      <w:proofErr w:type="spellStart"/>
      <w:r w:rsidRPr="004F6698">
        <w:rPr>
          <w:rFonts w:ascii="Georgia" w:hAnsi="Georgia"/>
          <w:spacing w:val="2"/>
          <w:sz w:val="18"/>
          <w:szCs w:val="20"/>
          <w:rtl/>
        </w:rPr>
        <w:t>היתה</w:t>
      </w:r>
      <w:proofErr w:type="spellEnd"/>
      <w:r w:rsidRPr="004F6698">
        <w:rPr>
          <w:rFonts w:ascii="Georgia" w:hAnsi="Georgia"/>
          <w:spacing w:val="2"/>
          <w:sz w:val="18"/>
          <w:szCs w:val="20"/>
          <w:rtl/>
        </w:rPr>
        <w:t xml:space="preserve"> שלא לתת לה סיוע: "פעם הגיעה אליי מישהי. העמיתה שלי בצוות נתנה לגיסה. אמרתי לה, </w:t>
      </w:r>
      <w:r w:rsidR="009B18A6">
        <w:rPr>
          <w:rFonts w:ascii="Georgia" w:hAnsi="Georgia" w:hint="cs"/>
          <w:spacing w:val="2"/>
          <w:sz w:val="18"/>
          <w:szCs w:val="20"/>
          <w:rtl/>
        </w:rPr>
        <w:t>"</w:t>
      </w:r>
      <w:r w:rsidR="009B18A6" w:rsidRPr="004F6698">
        <w:rPr>
          <w:rFonts w:ascii="Georgia" w:hAnsi="Georgia"/>
          <w:spacing w:val="2"/>
          <w:sz w:val="18"/>
          <w:szCs w:val="20"/>
          <w:rtl/>
        </w:rPr>
        <w:t xml:space="preserve">מה </w:t>
      </w:r>
      <w:r w:rsidRPr="004F6698">
        <w:rPr>
          <w:rFonts w:ascii="Georgia" w:hAnsi="Georgia"/>
          <w:spacing w:val="2"/>
          <w:sz w:val="18"/>
          <w:szCs w:val="20"/>
          <w:rtl/>
        </w:rPr>
        <w:t xml:space="preserve">קורה איתך? אמרתי לך אל תיתני למשפחה </w:t>
      </w:r>
      <w:r w:rsidR="009B18A6" w:rsidRPr="004F6698">
        <w:rPr>
          <w:rFonts w:ascii="Georgia" w:hAnsi="Georgia"/>
          <w:spacing w:val="2"/>
          <w:sz w:val="18"/>
          <w:szCs w:val="20"/>
          <w:rtl/>
        </w:rPr>
        <w:t>הזאת</w:t>
      </w:r>
      <w:r w:rsidR="009B18A6">
        <w:rPr>
          <w:rFonts w:ascii="Georgia" w:hAnsi="Georgia" w:hint="cs"/>
          <w:spacing w:val="2"/>
          <w:sz w:val="18"/>
          <w:szCs w:val="20"/>
          <w:rtl/>
        </w:rPr>
        <w:t>"</w:t>
      </w:r>
      <w:r w:rsidRPr="004F6698">
        <w:rPr>
          <w:rFonts w:ascii="Georgia" w:hAnsi="Georgia"/>
          <w:spacing w:val="2"/>
          <w:sz w:val="18"/>
          <w:szCs w:val="20"/>
          <w:rtl/>
        </w:rPr>
        <w:t xml:space="preserve">. גם בינינו אנחנו העובדים מתווכחים: </w:t>
      </w:r>
      <w:r w:rsidR="009B18A6">
        <w:rPr>
          <w:rFonts w:ascii="Georgia" w:hAnsi="Georgia" w:hint="cs"/>
          <w:spacing w:val="2"/>
          <w:sz w:val="18"/>
          <w:szCs w:val="20"/>
          <w:rtl/>
        </w:rPr>
        <w:t>"</w:t>
      </w:r>
      <w:r w:rsidR="009B18A6" w:rsidRPr="004F6698">
        <w:rPr>
          <w:rFonts w:ascii="Georgia" w:hAnsi="Georgia"/>
          <w:spacing w:val="2"/>
          <w:sz w:val="18"/>
          <w:szCs w:val="20"/>
          <w:rtl/>
        </w:rPr>
        <w:t xml:space="preserve">למה </w:t>
      </w:r>
      <w:r w:rsidRPr="004F6698">
        <w:rPr>
          <w:rFonts w:ascii="Georgia" w:hAnsi="Georgia"/>
          <w:spacing w:val="2"/>
          <w:sz w:val="18"/>
          <w:szCs w:val="20"/>
          <w:rtl/>
        </w:rPr>
        <w:t>נתת? נכון שסיכמנו על משהו מסוים?!!</w:t>
      </w:r>
      <w:r w:rsidR="009B18A6">
        <w:rPr>
          <w:rFonts w:ascii="Georgia" w:hAnsi="Georgia" w:hint="cs"/>
          <w:spacing w:val="2"/>
          <w:sz w:val="18"/>
          <w:szCs w:val="20"/>
          <w:rtl/>
        </w:rPr>
        <w:t>"</w:t>
      </w:r>
      <w:r w:rsidRPr="004F6698">
        <w:rPr>
          <w:rFonts w:ascii="Georgia" w:hAnsi="Georgia"/>
          <w:spacing w:val="2"/>
          <w:sz w:val="18"/>
          <w:szCs w:val="20"/>
          <w:rtl/>
        </w:rPr>
        <w:t xml:space="preserve"> (</w:t>
      </w:r>
      <w:proofErr w:type="spellStart"/>
      <w:r w:rsidRPr="004F6698">
        <w:rPr>
          <w:rFonts w:ascii="Georgia" w:hAnsi="Georgia"/>
          <w:spacing w:val="2"/>
          <w:sz w:val="18"/>
          <w:szCs w:val="20"/>
          <w:rtl/>
        </w:rPr>
        <w:t>עאידה</w:t>
      </w:r>
      <w:proofErr w:type="spellEnd"/>
      <w:r w:rsidRPr="004F6698">
        <w:rPr>
          <w:rFonts w:ascii="Georgia" w:hAnsi="Georgia"/>
          <w:spacing w:val="2"/>
          <w:sz w:val="18"/>
          <w:szCs w:val="20"/>
          <w:rtl/>
        </w:rPr>
        <w:t xml:space="preserve">, עו"ס). </w:t>
      </w:r>
    </w:p>
    <w:p w14:paraId="26AD49C9" w14:textId="77777777" w:rsidR="004F6698" w:rsidRPr="004F6698" w:rsidRDefault="004F6698" w:rsidP="004F6698">
      <w:pPr>
        <w:spacing w:line="280" w:lineRule="exact"/>
        <w:jc w:val="both"/>
        <w:rPr>
          <w:rFonts w:ascii="Georgia" w:hAnsi="Georgia"/>
          <w:sz w:val="18"/>
          <w:szCs w:val="20"/>
          <w:rtl/>
        </w:rPr>
      </w:pPr>
      <w:bookmarkStart w:id="2" w:name="_Toc127465321"/>
      <w:bookmarkStart w:id="3" w:name="_Toc127953422"/>
      <w:bookmarkStart w:id="4" w:name="_Toc127953466"/>
      <w:bookmarkEnd w:id="2"/>
      <w:bookmarkEnd w:id="3"/>
      <w:bookmarkEnd w:id="4"/>
    </w:p>
    <w:p w14:paraId="5833AF71" w14:textId="247E91C2" w:rsidR="00477056" w:rsidRPr="00477056" w:rsidRDefault="00477056" w:rsidP="00477056">
      <w:pPr>
        <w:keepNext/>
        <w:keepLines/>
        <w:spacing w:line="280" w:lineRule="exact"/>
        <w:jc w:val="both"/>
        <w:outlineLvl w:val="3"/>
        <w:rPr>
          <w:b/>
          <w:bCs/>
          <w:color w:val="BA2A16"/>
          <w:sz w:val="20"/>
          <w:szCs w:val="22"/>
          <w:rtl/>
        </w:rPr>
      </w:pPr>
      <w:r w:rsidRPr="00477056">
        <w:rPr>
          <w:b/>
          <w:bCs/>
          <w:color w:val="BA2A16"/>
          <w:sz w:val="20"/>
          <w:szCs w:val="22"/>
          <w:rtl/>
        </w:rPr>
        <w:t xml:space="preserve">אתגרים אוניברסליים בתחום הטיפול </w:t>
      </w:r>
    </w:p>
    <w:p w14:paraId="51DE6C39"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אתגר משמעותי שהעובדות הסוציאליות מתמודדות עימו קשור להתנהלות של הפונים, בעיקר בתחום הכלכלי, שהם תופסות כבלתי אדפטיבית. העובדות הסוציאליות מתקשות לתת להתנהלות כזו פירוש שאינו מאשים או מבוסס על האחרה. גם אתגר זה משותף לעובדות סוציאליות בחברה הערבית ובחברה היהודית. הקושי להעניק פרשנות אמפתית להתנהגויות הנתפסות כבעייתיות הוא מרכזי בכל עבודה טיפולית, אולם הוא נוכח במיוחד בעבודה עם משפחות בעוני, בשל הצורך להתמודד עם שיח ציבורי דומיננטי המאשים את העניים </w:t>
      </w:r>
      <w:proofErr w:type="spellStart"/>
      <w:r w:rsidRPr="00477056">
        <w:rPr>
          <w:rFonts w:ascii="Georgia" w:hAnsi="Georgia"/>
          <w:sz w:val="18"/>
          <w:szCs w:val="20"/>
          <w:rtl/>
        </w:rPr>
        <w:t>בעוניים</w:t>
      </w:r>
      <w:proofErr w:type="spellEnd"/>
      <w:r w:rsidRPr="00477056">
        <w:rPr>
          <w:rFonts w:ascii="Georgia" w:hAnsi="Georgia"/>
          <w:sz w:val="18"/>
          <w:szCs w:val="20"/>
          <w:rtl/>
        </w:rPr>
        <w:t xml:space="preserve"> (</w:t>
      </w:r>
      <w:r w:rsidRPr="00477056">
        <w:rPr>
          <w:rFonts w:ascii="Georgia" w:hAnsi="Georgia"/>
          <w:sz w:val="18"/>
          <w:szCs w:val="20"/>
        </w:rPr>
        <w:t>Lott, 2002</w:t>
      </w:r>
      <w:r w:rsidRPr="00477056">
        <w:rPr>
          <w:rFonts w:ascii="Georgia" w:hAnsi="Georgia"/>
          <w:sz w:val="18"/>
          <w:szCs w:val="20"/>
          <w:rtl/>
        </w:rPr>
        <w:t>). זינב, לדוגמה, מתארת את הבנתה כי מה שבמבט שטחי נראה כהתנהלות כלכלית חסרת אחריות אינו אלא התנגדות לעוני. מתוך כך היא מתקפת את מלחמתם של הפונים במחסור בהון סימבולי:</w:t>
      </w:r>
    </w:p>
    <w:p w14:paraId="5CEAAF4E" w14:textId="5EC3A1CF" w:rsidR="00477056" w:rsidRPr="00477056" w:rsidRDefault="00477056" w:rsidP="00EF498F">
      <w:pPr>
        <w:pStyle w:val="ListParagraph"/>
        <w:spacing w:before="120" w:after="180" w:line="240" w:lineRule="exact"/>
        <w:ind w:left="567"/>
        <w:jc w:val="both"/>
        <w:rPr>
          <w:rFonts w:ascii="Georgia" w:hAnsi="Georgia" w:cs="David"/>
          <w:i/>
          <w:iCs/>
          <w:sz w:val="18"/>
          <w:szCs w:val="20"/>
          <w:rtl/>
        </w:rPr>
      </w:pPr>
      <w:r w:rsidRPr="00477056">
        <w:rPr>
          <w:rFonts w:ascii="Georgia" w:hAnsi="Georgia" w:cs="David"/>
          <w:sz w:val="18"/>
          <w:szCs w:val="20"/>
          <w:rtl/>
        </w:rPr>
        <w:t xml:space="preserve">היא מההתחלה </w:t>
      </w:r>
      <w:proofErr w:type="spellStart"/>
      <w:r w:rsidRPr="00477056">
        <w:rPr>
          <w:rFonts w:ascii="Georgia" w:hAnsi="Georgia" w:cs="David"/>
          <w:sz w:val="18"/>
          <w:szCs w:val="20"/>
          <w:rtl/>
        </w:rPr>
        <w:t>היתה</w:t>
      </w:r>
      <w:proofErr w:type="spellEnd"/>
      <w:r w:rsidRPr="00477056">
        <w:rPr>
          <w:rFonts w:ascii="Georgia" w:hAnsi="Georgia" w:cs="David"/>
          <w:sz w:val="18"/>
          <w:szCs w:val="20"/>
          <w:rtl/>
        </w:rPr>
        <w:t xml:space="preserve"> כנה איתנו, אמרה שהיא רק לובשת בגדים חדשים, והילדים לובשים רק בגדים חדשים. כל פעם היא </w:t>
      </w:r>
      <w:proofErr w:type="spellStart"/>
      <w:r w:rsidRPr="00477056">
        <w:rPr>
          <w:rFonts w:ascii="Georgia" w:hAnsi="Georgia" w:cs="David"/>
          <w:sz w:val="18"/>
          <w:szCs w:val="20"/>
          <w:rtl/>
        </w:rPr>
        <w:t>היתה</w:t>
      </w:r>
      <w:proofErr w:type="spellEnd"/>
      <w:r w:rsidRPr="00477056">
        <w:rPr>
          <w:rFonts w:ascii="Georgia" w:hAnsi="Georgia" w:cs="David"/>
          <w:sz w:val="18"/>
          <w:szCs w:val="20"/>
          <w:rtl/>
        </w:rPr>
        <w:t xml:space="preserve"> מגיעה עם לבוש חדש. </w:t>
      </w:r>
      <w:proofErr w:type="spellStart"/>
      <w:r w:rsidRPr="00477056">
        <w:rPr>
          <w:rFonts w:ascii="Georgia" w:hAnsi="Georgia" w:cs="David"/>
          <w:sz w:val="18"/>
          <w:szCs w:val="20"/>
          <w:rtl/>
        </w:rPr>
        <w:t>היתה</w:t>
      </w:r>
      <w:proofErr w:type="spellEnd"/>
      <w:r w:rsidRPr="00477056">
        <w:rPr>
          <w:rFonts w:ascii="Georgia" w:hAnsi="Georgia" w:cs="David"/>
          <w:sz w:val="18"/>
          <w:szCs w:val="20"/>
          <w:rtl/>
        </w:rPr>
        <w:t xml:space="preserve"> משתפת </w:t>
      </w:r>
      <w:r w:rsidRPr="00477056">
        <w:rPr>
          <w:rFonts w:ascii="Georgia" w:hAnsi="Georgia" w:cs="David"/>
          <w:sz w:val="18"/>
          <w:szCs w:val="20"/>
          <w:rtl/>
        </w:rPr>
        <w:lastRenderedPageBreak/>
        <w:t xml:space="preserve">אותי שזה מתנה </w:t>
      </w:r>
      <w:proofErr w:type="spellStart"/>
      <w:r w:rsidRPr="00477056">
        <w:rPr>
          <w:rFonts w:ascii="Georgia" w:hAnsi="Georgia" w:cs="David"/>
          <w:sz w:val="18"/>
          <w:szCs w:val="20"/>
          <w:rtl/>
        </w:rPr>
        <w:t>וכו</w:t>
      </w:r>
      <w:proofErr w:type="spellEnd"/>
      <w:r w:rsidRPr="00477056">
        <w:rPr>
          <w:rFonts w:ascii="Georgia" w:hAnsi="Georgia" w:cs="David"/>
          <w:sz w:val="18"/>
          <w:szCs w:val="20"/>
          <w:rtl/>
        </w:rPr>
        <w:t xml:space="preserve">', ואני משיבה </w:t>
      </w:r>
      <w:r w:rsidR="009B18A6" w:rsidRPr="00477056">
        <w:rPr>
          <w:rFonts w:ascii="Georgia" w:hAnsi="Georgia" w:cs="David"/>
          <w:sz w:val="18"/>
          <w:szCs w:val="20"/>
          <w:rtl/>
        </w:rPr>
        <w:t>ש</w:t>
      </w:r>
      <w:r w:rsidR="009B18A6">
        <w:rPr>
          <w:rFonts w:ascii="Georgia" w:hAnsi="Georgia" w:cs="David" w:hint="cs"/>
          <w:sz w:val="18"/>
          <w:szCs w:val="20"/>
          <w:rtl/>
        </w:rPr>
        <w:t>"</w:t>
      </w:r>
      <w:r w:rsidR="009B18A6" w:rsidRPr="00477056">
        <w:rPr>
          <w:rFonts w:ascii="Georgia" w:hAnsi="Georgia" w:cs="David"/>
          <w:sz w:val="18"/>
          <w:szCs w:val="20"/>
          <w:rtl/>
        </w:rPr>
        <w:t xml:space="preserve">להפך </w:t>
      </w:r>
      <w:r w:rsidRPr="00477056">
        <w:rPr>
          <w:rFonts w:ascii="Georgia" w:hAnsi="Georgia" w:cs="David"/>
          <w:sz w:val="18"/>
          <w:szCs w:val="20"/>
          <w:rtl/>
        </w:rPr>
        <w:t>מגיע לך, מגיע לך שכל הבגדים יהיו חדשים ומגיע לילדים</w:t>
      </w:r>
      <w:r w:rsidR="009B18A6">
        <w:rPr>
          <w:rFonts w:ascii="Georgia" w:hAnsi="Georgia" w:cs="David" w:hint="cs"/>
          <w:sz w:val="18"/>
          <w:szCs w:val="20"/>
          <w:rtl/>
        </w:rPr>
        <w:t>"</w:t>
      </w:r>
      <w:r w:rsidRPr="00477056">
        <w:rPr>
          <w:rFonts w:ascii="Georgia" w:hAnsi="Georgia" w:cs="David"/>
          <w:sz w:val="18"/>
          <w:szCs w:val="20"/>
          <w:rtl/>
        </w:rPr>
        <w:t xml:space="preserve"> (זינב, עו"ס).</w:t>
      </w:r>
    </w:p>
    <w:p w14:paraId="3254330E"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עובדת אחרת מתאמצת להעניק פרשנות אמפתית לצורך ברכישת מותגים. אומנם היא רואה זאת כביטוי של הצורך להפגין בפני אחרים מעמד, גם כאשר אין לו ביסוס כלכלי, אך גם כפיצוי על ילדות בעוני. </w:t>
      </w:r>
    </w:p>
    <w:p w14:paraId="63377341" w14:textId="5143E525" w:rsidR="00477056" w:rsidRPr="00477056" w:rsidRDefault="00477056" w:rsidP="00EF498F">
      <w:pPr>
        <w:pStyle w:val="ListParagraph"/>
        <w:spacing w:before="120" w:after="180" w:line="240" w:lineRule="exact"/>
        <w:ind w:left="567"/>
        <w:jc w:val="both"/>
        <w:rPr>
          <w:rFonts w:ascii="Georgia" w:hAnsi="Georgia" w:cs="David"/>
          <w:i/>
          <w:iCs/>
          <w:sz w:val="18"/>
          <w:szCs w:val="20"/>
          <w:rtl/>
        </w:rPr>
      </w:pPr>
      <w:r w:rsidRPr="00477056">
        <w:rPr>
          <w:rFonts w:ascii="Georgia" w:hAnsi="Georgia" w:cs="David"/>
          <w:sz w:val="18"/>
          <w:szCs w:val="20"/>
          <w:rtl/>
        </w:rPr>
        <w:t xml:space="preserve">רוצים לפצות את עצמם. בסדר אני עני, אבל [...] </w:t>
      </w:r>
      <w:r w:rsidR="009B18A6">
        <w:rPr>
          <w:rFonts w:ascii="Georgia" w:hAnsi="Georgia" w:cs="David" w:hint="cs"/>
          <w:sz w:val="18"/>
          <w:szCs w:val="20"/>
          <w:rtl/>
        </w:rPr>
        <w:t>"</w:t>
      </w:r>
      <w:r w:rsidR="009B18A6" w:rsidRPr="00477056">
        <w:rPr>
          <w:rFonts w:ascii="Georgia" w:hAnsi="Georgia" w:cs="David"/>
          <w:sz w:val="18"/>
          <w:szCs w:val="20"/>
          <w:rtl/>
        </w:rPr>
        <w:t xml:space="preserve">למה </w:t>
      </w:r>
      <w:r w:rsidRPr="00477056">
        <w:rPr>
          <w:rFonts w:ascii="Georgia" w:hAnsi="Georgia" w:cs="David"/>
          <w:sz w:val="18"/>
          <w:szCs w:val="20"/>
          <w:rtl/>
        </w:rPr>
        <w:t xml:space="preserve">הוא ינהג אוטו ואני לא? למה הבן שלו ילבש חולצת </w:t>
      </w:r>
      <w:r w:rsidRPr="00477056">
        <w:rPr>
          <w:rFonts w:ascii="Georgia" w:hAnsi="Georgia" w:cs="David"/>
          <w:color w:val="000000"/>
          <w:sz w:val="18"/>
          <w:szCs w:val="20"/>
        </w:rPr>
        <w:t>Lacoste</w:t>
      </w:r>
      <w:r w:rsidRPr="00477056">
        <w:rPr>
          <w:rFonts w:ascii="Georgia" w:hAnsi="Georgia" w:cs="David"/>
          <w:sz w:val="18"/>
          <w:szCs w:val="20"/>
          <w:rtl/>
        </w:rPr>
        <w:t xml:space="preserve"> והבן שלי לא?</w:t>
      </w:r>
      <w:r w:rsidR="009B18A6">
        <w:rPr>
          <w:rFonts w:ascii="Georgia" w:hAnsi="Georgia" w:cs="David" w:hint="cs"/>
          <w:sz w:val="18"/>
          <w:szCs w:val="20"/>
          <w:rtl/>
        </w:rPr>
        <w:t xml:space="preserve">" </w:t>
      </w:r>
      <w:r w:rsidRPr="00477056">
        <w:rPr>
          <w:rFonts w:ascii="Georgia" w:hAnsi="Georgia" w:cs="David"/>
          <w:sz w:val="18"/>
          <w:szCs w:val="20"/>
          <w:rtl/>
        </w:rPr>
        <w:t xml:space="preserve">את מרגישה שהוא מתחיל להשתולל בכסף על מנת לפצות על זה שהוא עני או נולד בבית עני. זה נותן להם הון סימבולי. בנוסף לכל הנושא </w:t>
      </w:r>
      <w:proofErr w:type="spellStart"/>
      <w:r w:rsidRPr="00477056">
        <w:rPr>
          <w:rFonts w:ascii="Georgia" w:hAnsi="Georgia" w:cs="David"/>
          <w:sz w:val="18"/>
          <w:szCs w:val="20"/>
          <w:rtl/>
        </w:rPr>
        <w:t>שופוני</w:t>
      </w:r>
      <w:proofErr w:type="spellEnd"/>
      <w:r w:rsidRPr="00477056">
        <w:rPr>
          <w:rFonts w:ascii="Georgia" w:hAnsi="Georgia" w:cs="David"/>
          <w:sz w:val="18"/>
          <w:szCs w:val="20"/>
          <w:rtl/>
        </w:rPr>
        <w:t>, התופעה שיש לי אוטו ויש לי חוב ואני יכול (</w:t>
      </w:r>
      <w:proofErr w:type="spellStart"/>
      <w:r w:rsidRPr="00477056">
        <w:rPr>
          <w:rFonts w:ascii="Georgia" w:hAnsi="Georgia" w:cs="David"/>
          <w:sz w:val="18"/>
          <w:szCs w:val="20"/>
          <w:rtl/>
        </w:rPr>
        <w:t>סועאד</w:t>
      </w:r>
      <w:proofErr w:type="spellEnd"/>
      <w:r w:rsidRPr="00477056">
        <w:rPr>
          <w:rFonts w:ascii="Georgia" w:hAnsi="Georgia" w:cs="David"/>
          <w:sz w:val="18"/>
          <w:szCs w:val="20"/>
          <w:rtl/>
        </w:rPr>
        <w:t>, עו"ס).</w:t>
      </w:r>
    </w:p>
    <w:p w14:paraId="614D7647" w14:textId="77777777" w:rsidR="00477056" w:rsidRPr="00477056" w:rsidRDefault="00477056" w:rsidP="00477056">
      <w:pPr>
        <w:spacing w:after="180" w:line="280" w:lineRule="exact"/>
        <w:jc w:val="both"/>
        <w:rPr>
          <w:rFonts w:ascii="Georgia" w:hAnsi="Georgia"/>
          <w:sz w:val="18"/>
          <w:szCs w:val="20"/>
        </w:rPr>
      </w:pPr>
      <w:r w:rsidRPr="00477056">
        <w:rPr>
          <w:rFonts w:ascii="Georgia" w:hAnsi="Georgia"/>
          <w:sz w:val="18"/>
          <w:szCs w:val="20"/>
          <w:rtl/>
        </w:rPr>
        <w:t xml:space="preserve">במקרה אחר, עובדת בכירה מתארת סיטואציה בהדרכה שבה היא מסייעת לעובדת בצוות להבין את הפונה. </w:t>
      </w:r>
    </w:p>
    <w:p w14:paraId="73BF70AF" w14:textId="77777777" w:rsidR="00477056" w:rsidRPr="00477056" w:rsidRDefault="00477056" w:rsidP="00793972">
      <w:pPr>
        <w:pStyle w:val="ListParagraph"/>
        <w:spacing w:before="120" w:after="180" w:line="240" w:lineRule="exact"/>
        <w:ind w:left="567"/>
        <w:jc w:val="both"/>
        <w:rPr>
          <w:rFonts w:ascii="Georgia" w:hAnsi="Georgia" w:cs="David"/>
          <w:i/>
          <w:iCs/>
          <w:sz w:val="18"/>
          <w:szCs w:val="20"/>
          <w:rtl/>
        </w:rPr>
      </w:pPr>
      <w:r w:rsidRPr="00477056">
        <w:rPr>
          <w:rFonts w:ascii="Georgia" w:hAnsi="Georgia" w:cs="David"/>
          <w:sz w:val="18"/>
          <w:szCs w:val="20"/>
          <w:rtl/>
        </w:rPr>
        <w:t>אנחנו צריכים לקבל את כל האנשים, אולי האישה הזאת שישבה אצלך בכיסא ואמרת לי מה היא עשתה, אולי עד שהיא הגיעה אלייך אלוהים יודע מה עבר עליה, אולי הלכה לביטוח לאומי וצעקו בפנים שלה? אולי המנהלת לא שמעה אותה? אולי חמותה הציקה לה, עד שהיא הצליחה להגיע? [...] לכן צריכים לא להיות שיפוטיים בדבר שהם מביאים לנו באותו רגע. בטח יש מעבר (יסמין, עו"ס).</w:t>
      </w:r>
    </w:p>
    <w:p w14:paraId="1252E330"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בכל המקרים הללו, העובדות מתארות פרקטיקה המבוססת על הניסיון לגייס אמפתיה ולהבין את ההקשר הסובייקטיבי להתנהלות הנתפסת כלא אדפטיבית. </w:t>
      </w:r>
    </w:p>
    <w:p w14:paraId="1F41EC2F" w14:textId="77777777" w:rsidR="004F6698" w:rsidRPr="004F6698" w:rsidRDefault="004F6698" w:rsidP="004F6698">
      <w:pPr>
        <w:spacing w:line="280" w:lineRule="exact"/>
        <w:jc w:val="both"/>
        <w:rPr>
          <w:rFonts w:ascii="Georgia" w:hAnsi="Georgia"/>
          <w:sz w:val="18"/>
          <w:szCs w:val="20"/>
          <w:rtl/>
        </w:rPr>
      </w:pPr>
    </w:p>
    <w:p w14:paraId="55CD7E9C" w14:textId="5C03AFFA" w:rsidR="00477056" w:rsidRPr="00477056" w:rsidRDefault="00477056" w:rsidP="00477056">
      <w:pPr>
        <w:pStyle w:val="KOT5"/>
        <w:spacing w:after="0"/>
        <w:ind w:right="0"/>
        <w:outlineLvl w:val="2"/>
        <w:rPr>
          <w:rFonts w:cs="Guttman Aharoni"/>
          <w:color w:val="BA2A16"/>
          <w:rtl/>
        </w:rPr>
      </w:pPr>
      <w:r w:rsidRPr="00477056">
        <w:rPr>
          <w:rFonts w:cs="Guttman Aharoni"/>
          <w:color w:val="BA2A16"/>
          <w:rtl/>
        </w:rPr>
        <w:t xml:space="preserve">אתגרים ספציפיים לחברה הערבית בתוך ההקשר החברתי, התרבותי והפוליטי </w:t>
      </w:r>
    </w:p>
    <w:p w14:paraId="477F1C89" w14:textId="77777777" w:rsidR="00477056" w:rsidRPr="0007555E" w:rsidRDefault="00477056" w:rsidP="00477056">
      <w:pPr>
        <w:spacing w:after="180" w:line="280" w:lineRule="exact"/>
        <w:jc w:val="both"/>
        <w:rPr>
          <w:rFonts w:ascii="Georgia" w:hAnsi="Georgia"/>
          <w:spacing w:val="2"/>
          <w:sz w:val="18"/>
          <w:szCs w:val="20"/>
          <w:rtl/>
        </w:rPr>
      </w:pPr>
      <w:r w:rsidRPr="0007555E">
        <w:rPr>
          <w:rFonts w:ascii="Georgia" w:hAnsi="Georgia"/>
          <w:spacing w:val="2"/>
          <w:sz w:val="18"/>
          <w:szCs w:val="20"/>
          <w:rtl/>
        </w:rPr>
        <w:t>לצד הקשיים בהקשר החומרי ובהקשר הטיפולי המשותפים לכלל העובדות הסוציאליות בחברה הישראלית זיהינו גם קשיים ייחודיים לחברה הערבית. נתאר 4 אתגרים ייחודיים לחברה הערבית: מחסור בהזדמנויות תעסוקה, היעדר שירותי רווחה וטיפול נגישים, טיפול בחסרי מעמד, ותחושת זרות של העובדות הסוציאליות בהקשר של הצטלבות מיקומי שוליים.</w:t>
      </w:r>
    </w:p>
    <w:p w14:paraId="3F0E7A53" w14:textId="77777777" w:rsidR="004F6698" w:rsidRPr="004F6698" w:rsidRDefault="004F6698" w:rsidP="004F6698">
      <w:pPr>
        <w:spacing w:line="280" w:lineRule="exact"/>
        <w:jc w:val="both"/>
        <w:rPr>
          <w:rFonts w:ascii="Georgia" w:hAnsi="Georgia"/>
          <w:sz w:val="18"/>
          <w:szCs w:val="20"/>
          <w:rtl/>
        </w:rPr>
      </w:pPr>
    </w:p>
    <w:p w14:paraId="47885DD6" w14:textId="26AA9366" w:rsidR="00477056" w:rsidRPr="00477056" w:rsidRDefault="00477056" w:rsidP="00477056">
      <w:pPr>
        <w:keepNext/>
        <w:keepLines/>
        <w:spacing w:line="280" w:lineRule="exact"/>
        <w:jc w:val="both"/>
        <w:outlineLvl w:val="3"/>
        <w:rPr>
          <w:b/>
          <w:bCs/>
          <w:color w:val="BA2A16"/>
          <w:sz w:val="20"/>
          <w:szCs w:val="22"/>
          <w:rtl/>
        </w:rPr>
      </w:pPr>
      <w:r w:rsidRPr="00477056">
        <w:rPr>
          <w:b/>
          <w:bCs/>
          <w:color w:val="BA2A16"/>
          <w:sz w:val="20"/>
          <w:szCs w:val="22"/>
          <w:rtl/>
        </w:rPr>
        <w:t xml:space="preserve">מחסור בהזדמנויות תעסוקה </w:t>
      </w:r>
    </w:p>
    <w:p w14:paraId="5584C211" w14:textId="5F5190D9" w:rsidR="00477056" w:rsidRPr="0007555E" w:rsidRDefault="00477056" w:rsidP="00477056">
      <w:pPr>
        <w:spacing w:after="180" w:line="280" w:lineRule="exact"/>
        <w:jc w:val="both"/>
        <w:rPr>
          <w:rFonts w:ascii="Georgia" w:hAnsi="Georgia"/>
          <w:spacing w:val="-2"/>
          <w:sz w:val="18"/>
          <w:szCs w:val="20"/>
          <w:rtl/>
        </w:rPr>
      </w:pPr>
      <w:r w:rsidRPr="0007555E">
        <w:rPr>
          <w:rFonts w:ascii="Georgia" w:hAnsi="Georgia"/>
          <w:spacing w:val="-2"/>
          <w:sz w:val="18"/>
          <w:szCs w:val="20"/>
          <w:rtl/>
        </w:rPr>
        <w:t xml:space="preserve">המחסור בהזדמנויות תעסוקה, אשר יכולות לאפשר מוצא מעוני, חזר על עצמו בראיונות כחסם מרכזי המונע קידומם של הפונים. יש לציין כי המרואיינות כמעט לא הזכירו בעיות במוטיבציה של פונים לצאת לעבודה, ואם הזכירו זאת, ההקשר היה של התערבות שבמהלכה חל שיפור במידת המוטיבציה. עם זאת, </w:t>
      </w:r>
      <w:proofErr w:type="spellStart"/>
      <w:r w:rsidRPr="0007555E">
        <w:rPr>
          <w:rFonts w:ascii="Georgia" w:hAnsi="Georgia"/>
          <w:spacing w:val="-2"/>
          <w:sz w:val="18"/>
          <w:szCs w:val="20"/>
          <w:rtl/>
        </w:rPr>
        <w:t>היתה</w:t>
      </w:r>
      <w:proofErr w:type="spellEnd"/>
      <w:r w:rsidRPr="0007555E">
        <w:rPr>
          <w:rFonts w:ascii="Georgia" w:hAnsi="Georgia"/>
          <w:spacing w:val="-2"/>
          <w:sz w:val="18"/>
          <w:szCs w:val="20"/>
          <w:rtl/>
        </w:rPr>
        <w:t xml:space="preserve"> בראיונות התייחסות רבה למחסור בהזדמנויות ריאליות לתעסוקה. אחד המנהלים ציין כי בהיעדר היצע של מקומות עבודה, מאמציהן של עובדות </w:t>
      </w:r>
      <w:r w:rsidRPr="0007555E">
        <w:rPr>
          <w:rFonts w:ascii="Georgia" w:hAnsi="Georgia"/>
          <w:spacing w:val="-2"/>
          <w:sz w:val="18"/>
          <w:szCs w:val="20"/>
          <w:rtl/>
        </w:rPr>
        <w:lastRenderedPageBreak/>
        <w:t>סוציאליות להגביר את המוטיבציה של פונים להשתלב בשוק העבודה הוא לא רק בלתי יעיל, אלא גם מהווה שיתוף פעולה עם ההפליה המבנית בחברה הישראלית:</w:t>
      </w:r>
    </w:p>
    <w:p w14:paraId="6115F285" w14:textId="77777777" w:rsidR="00477056" w:rsidRPr="00477056" w:rsidRDefault="00477056" w:rsidP="004F6698">
      <w:pPr>
        <w:pStyle w:val="Quote"/>
        <w:spacing w:before="120" w:after="180" w:line="240" w:lineRule="exact"/>
        <w:ind w:left="567" w:right="0"/>
        <w:jc w:val="both"/>
        <w:rPr>
          <w:rFonts w:ascii="Georgia" w:hAnsi="Georgia" w:cs="David"/>
          <w:i w:val="0"/>
          <w:iCs w:val="0"/>
          <w:sz w:val="18"/>
          <w:szCs w:val="20"/>
          <w:rtl/>
        </w:rPr>
      </w:pPr>
      <w:r w:rsidRPr="00477056">
        <w:rPr>
          <w:rFonts w:ascii="Georgia" w:hAnsi="Georgia" w:cs="David"/>
          <w:i w:val="0"/>
          <w:iCs w:val="0"/>
          <w:sz w:val="18"/>
          <w:szCs w:val="20"/>
          <w:rtl/>
        </w:rPr>
        <w:t>כל עוד אין אופציות תעסוקתיות בכפרים הערבים, כל התנהלות בקטע של העוני היא התנהלות שמשתפת פעולה עם המחסור הזה. מה אני עושה? למעשה אני גורם למקבלי החלטות במדינה להרגיש טוב שאני מקבל פרויקט של נושמים לרווחה. מה אומרים לי? "נתנו לו והכל בסדר". אבל אם היית ברגע מסוים מתנגד לדברים האלה, היית אומר "תיקחו אותם לעזאזל, אני רוצה עובד סוציאלי אחד איתי אבל תנו לי שני מפעלים" (כרים, מנהל).</w:t>
      </w:r>
    </w:p>
    <w:p w14:paraId="2205CB2F" w14:textId="77777777" w:rsidR="00477056" w:rsidRPr="0007555E" w:rsidRDefault="00477056" w:rsidP="00477056">
      <w:pPr>
        <w:pStyle w:val="Quote"/>
        <w:spacing w:before="0" w:after="180" w:line="280" w:lineRule="exact"/>
        <w:ind w:left="0" w:right="0"/>
        <w:jc w:val="both"/>
        <w:rPr>
          <w:rFonts w:ascii="Georgia" w:hAnsi="Georgia" w:cs="David"/>
          <w:i w:val="0"/>
          <w:iCs w:val="0"/>
          <w:spacing w:val="-2"/>
          <w:sz w:val="18"/>
          <w:szCs w:val="20"/>
          <w:rtl/>
        </w:rPr>
      </w:pPr>
      <w:r w:rsidRPr="0007555E">
        <w:rPr>
          <w:rFonts w:ascii="Georgia" w:hAnsi="Georgia" w:cs="David"/>
          <w:i w:val="0"/>
          <w:iCs w:val="0"/>
          <w:spacing w:val="-2"/>
          <w:sz w:val="18"/>
          <w:szCs w:val="20"/>
          <w:rtl/>
        </w:rPr>
        <w:t>מנהלת אחרת מתייחסת לחוסר היעילות שבקורסי הכשרה בהיעדר הזדמנויות תעסוקה: "אנחנו אומרים 'לתת להם חכות ולא דגים', אבל הבעיה היא שגם החכות שאנחנו נותנים לא תמיד יכולות לספק להם את הדגים, ובסוף אתה צריך לשים אוכל על השולחן" (יעל, מנהלת).</w:t>
      </w:r>
    </w:p>
    <w:p w14:paraId="53508F02" w14:textId="72061511" w:rsidR="00477056" w:rsidRPr="00477056" w:rsidRDefault="00477056" w:rsidP="00A37A24">
      <w:pPr>
        <w:spacing w:after="180" w:line="280" w:lineRule="exact"/>
        <w:jc w:val="both"/>
        <w:rPr>
          <w:rFonts w:ascii="Georgia" w:hAnsi="Georgia"/>
          <w:b/>
          <w:bCs/>
          <w:sz w:val="18"/>
          <w:szCs w:val="20"/>
          <w:rtl/>
        </w:rPr>
      </w:pPr>
      <w:r w:rsidRPr="00477056">
        <w:rPr>
          <w:rFonts w:ascii="Georgia" w:hAnsi="Georgia"/>
          <w:sz w:val="18"/>
          <w:szCs w:val="20"/>
          <w:rtl/>
        </w:rPr>
        <w:t>היעדר מקומות תעסוקה ביישובים עצמם מחייב את הפונים לעבוד הרחק מביתם, מה שהופך את יום העבודה לארוך במיוחד עד כדי פגיעה בילדים, במיוחד כאשר מדובר בעבודת נשים. העובדות הסוציאליות מוצאות את עצמן לכודות בין הרצון לתמוך בתעסוקת נשים כדרך להתגבר על מחסור כלכלי ולחזק נשים, לבין הצורך להגן על ילדים:</w:t>
      </w:r>
    </w:p>
    <w:p w14:paraId="548B1DC3" w14:textId="4783B26E" w:rsidR="00477056" w:rsidRPr="00477056" w:rsidRDefault="00477056" w:rsidP="00A37A24">
      <w:pPr>
        <w:pStyle w:val="Quote"/>
        <w:spacing w:before="120" w:after="180" w:line="240" w:lineRule="exact"/>
        <w:ind w:left="567" w:right="0"/>
        <w:jc w:val="both"/>
        <w:rPr>
          <w:rFonts w:ascii="Georgia" w:hAnsi="Georgia" w:cs="David"/>
          <w:i w:val="0"/>
          <w:iCs w:val="0"/>
          <w:sz w:val="18"/>
          <w:szCs w:val="20"/>
          <w:rtl/>
        </w:rPr>
      </w:pPr>
      <w:r w:rsidRPr="00477056">
        <w:rPr>
          <w:rFonts w:ascii="Georgia" w:hAnsi="Georgia" w:cs="David"/>
          <w:i w:val="0"/>
          <w:iCs w:val="0"/>
          <w:sz w:val="18"/>
          <w:szCs w:val="20"/>
          <w:rtl/>
        </w:rPr>
        <w:t>אצלנו בכפר יש לנו הזדמנויות עבודה מאוד מעטות, ואז האם נאלצת לצאת מחוץ ליישוב, להתעורר בשעה ארבע או חמש, אפילו לפני זה, ולחזור בערב בשעה חמש-שש. היו לנו כמה מקרים שעודדנו, והבת עברה התעללות מינית מהשכנים, והאם בעבודה. אנחנו לא רוצים שמשהו יבוא על חשבון משהו אחר, אז המקום הזה מכניס אותנו שוב לדילמה ומורכבות (בסמה, עו</w:t>
      </w:r>
      <w:r w:rsidR="006340F8">
        <w:rPr>
          <w:rFonts w:ascii="Georgia" w:hAnsi="Georgia" w:cs="David" w:hint="cs"/>
          <w:i w:val="0"/>
          <w:iCs w:val="0"/>
          <w:sz w:val="18"/>
          <w:szCs w:val="20"/>
          <w:rtl/>
        </w:rPr>
        <w:t>"</w:t>
      </w:r>
      <w:r w:rsidRPr="00477056">
        <w:rPr>
          <w:rFonts w:ascii="Georgia" w:hAnsi="Georgia" w:cs="David"/>
          <w:i w:val="0"/>
          <w:iCs w:val="0"/>
          <w:sz w:val="18"/>
          <w:szCs w:val="20"/>
          <w:rtl/>
        </w:rPr>
        <w:t>ס).</w:t>
      </w:r>
    </w:p>
    <w:p w14:paraId="78019A1A" w14:textId="77777777" w:rsidR="00477056" w:rsidRPr="00477056" w:rsidRDefault="00477056" w:rsidP="0007555E">
      <w:pPr>
        <w:pStyle w:val="Quote"/>
        <w:spacing w:before="120" w:after="180" w:line="240" w:lineRule="exact"/>
        <w:ind w:left="567" w:right="0"/>
        <w:jc w:val="both"/>
        <w:rPr>
          <w:rFonts w:ascii="Georgia" w:hAnsi="Georgia" w:cs="David"/>
          <w:i w:val="0"/>
          <w:iCs w:val="0"/>
          <w:sz w:val="18"/>
          <w:szCs w:val="20"/>
          <w:rtl/>
        </w:rPr>
      </w:pPr>
      <w:r w:rsidRPr="00477056">
        <w:rPr>
          <w:rFonts w:ascii="Georgia" w:hAnsi="Georgia" w:cs="David"/>
          <w:i w:val="0"/>
          <w:iCs w:val="0"/>
          <w:sz w:val="18"/>
          <w:szCs w:val="20"/>
          <w:rtl/>
        </w:rPr>
        <w:t>היא עובדת [...] אבל משלמת מחיר עוד יותר גרוע מהעוני עצמו. תעסוקה פוגענית פוגעת בילדים. וזה הדילמה הכי קשה. איך אנחנו מלמדים אנשים לצאת מהעוני אבל לא ליפול בפח יותר קשה מהעוני עצמו (פרידה, עו"ס).</w:t>
      </w:r>
    </w:p>
    <w:p w14:paraId="7081D699"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ההיקף המצומצם של אפשרויות תעסוקה מביא גם בעלי מקצוע לעבוד בעבודה בלתי מקצועית ובלתי מתגמלת.</w:t>
      </w:r>
    </w:p>
    <w:p w14:paraId="40128EDD" w14:textId="77777777" w:rsidR="00477056" w:rsidRPr="00477056" w:rsidRDefault="00477056" w:rsidP="004F6698">
      <w:pPr>
        <w:pStyle w:val="Quote"/>
        <w:spacing w:before="120" w:after="180" w:line="240" w:lineRule="exact"/>
        <w:ind w:left="567" w:right="0"/>
        <w:jc w:val="both"/>
        <w:rPr>
          <w:rFonts w:ascii="Georgia" w:hAnsi="Georgia" w:cs="David"/>
          <w:i w:val="0"/>
          <w:iCs w:val="0"/>
          <w:sz w:val="18"/>
          <w:szCs w:val="20"/>
          <w:rtl/>
        </w:rPr>
      </w:pPr>
      <w:r w:rsidRPr="00477056">
        <w:rPr>
          <w:rFonts w:ascii="Georgia" w:hAnsi="Georgia" w:cs="David"/>
          <w:i w:val="0"/>
          <w:iCs w:val="0"/>
          <w:sz w:val="18"/>
          <w:szCs w:val="20"/>
          <w:rtl/>
        </w:rPr>
        <w:t>האישה למדה משהו ברפואה משלימה [...] והיא נאלצה לעבוד בניקיון. כמה באמת את יכולה להחזיק אותה שהיא תוכל לעבוד בניקיון, ולתמוך ולהגיד לה שמה שאת עושה זה משהו מאוד מכובד ומשהו מאוד גדול? תוך שנה אם היא לא תמצא עבודה שמתאימה לה היא תמשיך באותו קצב? אני חושב שלא (</w:t>
      </w:r>
      <w:proofErr w:type="spellStart"/>
      <w:r w:rsidRPr="00477056">
        <w:rPr>
          <w:rFonts w:ascii="Georgia" w:hAnsi="Georgia" w:cs="David"/>
          <w:i w:val="0"/>
          <w:iCs w:val="0"/>
          <w:sz w:val="18"/>
          <w:szCs w:val="20"/>
          <w:rtl/>
        </w:rPr>
        <w:t>חמזה</w:t>
      </w:r>
      <w:proofErr w:type="spellEnd"/>
      <w:r w:rsidRPr="00477056">
        <w:rPr>
          <w:rFonts w:ascii="Georgia" w:hAnsi="Georgia" w:cs="David"/>
          <w:i w:val="0"/>
          <w:iCs w:val="0"/>
          <w:sz w:val="18"/>
          <w:szCs w:val="20"/>
          <w:rtl/>
        </w:rPr>
        <w:t>, עו"ס).</w:t>
      </w:r>
    </w:p>
    <w:p w14:paraId="160E6769" w14:textId="77777777" w:rsidR="004F6698" w:rsidRPr="004F6698" w:rsidRDefault="004F6698" w:rsidP="004F6698">
      <w:pPr>
        <w:spacing w:line="280" w:lineRule="exact"/>
        <w:jc w:val="both"/>
        <w:rPr>
          <w:rFonts w:ascii="Georgia" w:hAnsi="Georgia"/>
          <w:sz w:val="18"/>
          <w:szCs w:val="20"/>
          <w:rtl/>
        </w:rPr>
      </w:pPr>
      <w:bookmarkStart w:id="5" w:name="_Toc127465333"/>
      <w:bookmarkStart w:id="6" w:name="_Toc127953434"/>
      <w:bookmarkEnd w:id="5"/>
      <w:bookmarkEnd w:id="6"/>
    </w:p>
    <w:p w14:paraId="3F1F08C4" w14:textId="41A1DA65" w:rsidR="00477056" w:rsidRPr="004F6698" w:rsidRDefault="00477056" w:rsidP="004F6698">
      <w:pPr>
        <w:keepNext/>
        <w:keepLines/>
        <w:spacing w:after="180" w:line="280" w:lineRule="exact"/>
        <w:jc w:val="both"/>
        <w:rPr>
          <w:rFonts w:ascii="Georgia" w:hAnsi="Georgia"/>
          <w:b/>
          <w:bCs/>
          <w:sz w:val="18"/>
          <w:szCs w:val="20"/>
          <w:rtl/>
        </w:rPr>
      </w:pPr>
      <w:proofErr w:type="spellStart"/>
      <w:r w:rsidRPr="004F6698">
        <w:rPr>
          <w:rFonts w:ascii="Georgia" w:hAnsi="Georgia"/>
          <w:b/>
          <w:bCs/>
          <w:sz w:val="18"/>
          <w:szCs w:val="20"/>
          <w:rtl/>
        </w:rPr>
        <w:lastRenderedPageBreak/>
        <w:t>פרקטיקות</w:t>
      </w:r>
      <w:proofErr w:type="spellEnd"/>
      <w:r w:rsidRPr="004F6698">
        <w:rPr>
          <w:rFonts w:ascii="Georgia" w:hAnsi="Georgia"/>
          <w:b/>
          <w:bCs/>
          <w:sz w:val="18"/>
          <w:szCs w:val="20"/>
          <w:rtl/>
        </w:rPr>
        <w:t xml:space="preserve"> מקצועיות להתמודדות עם המחסור בהזדמנויות תעסוקה</w:t>
      </w:r>
    </w:p>
    <w:p w14:paraId="24A01A27" w14:textId="77777777" w:rsidR="00477056" w:rsidRPr="00477056" w:rsidRDefault="00477056" w:rsidP="0007555E">
      <w:pPr>
        <w:keepNext/>
        <w:keepLines/>
        <w:spacing w:after="180" w:line="280" w:lineRule="exact"/>
        <w:jc w:val="both"/>
        <w:rPr>
          <w:rFonts w:ascii="Georgia" w:hAnsi="Georgia"/>
          <w:sz w:val="18"/>
          <w:szCs w:val="20"/>
          <w:rtl/>
        </w:rPr>
      </w:pPr>
      <w:r w:rsidRPr="00477056">
        <w:rPr>
          <w:rFonts w:ascii="Georgia" w:hAnsi="Georgia"/>
          <w:sz w:val="18"/>
          <w:szCs w:val="20"/>
          <w:rtl/>
        </w:rPr>
        <w:t xml:space="preserve">העובדות הסוציאליות מתארות 4 </w:t>
      </w:r>
      <w:proofErr w:type="spellStart"/>
      <w:r w:rsidRPr="00477056">
        <w:rPr>
          <w:rFonts w:ascii="Georgia" w:hAnsi="Georgia"/>
          <w:sz w:val="18"/>
          <w:szCs w:val="20"/>
          <w:rtl/>
        </w:rPr>
        <w:t>פרקטיקות</w:t>
      </w:r>
      <w:proofErr w:type="spellEnd"/>
      <w:r w:rsidRPr="00477056">
        <w:rPr>
          <w:rFonts w:ascii="Georgia" w:hAnsi="Georgia"/>
          <w:sz w:val="18"/>
          <w:szCs w:val="20"/>
          <w:rtl/>
        </w:rPr>
        <w:t xml:space="preserve"> שונות שהן נוקטות בהקשר של תעסוקה: </w:t>
      </w:r>
    </w:p>
    <w:p w14:paraId="2D180091" w14:textId="36F15358" w:rsidR="00477056" w:rsidRPr="00477056" w:rsidRDefault="00477056" w:rsidP="00A37A24">
      <w:pPr>
        <w:spacing w:after="180" w:line="280" w:lineRule="exact"/>
        <w:ind w:left="397" w:hanging="397"/>
        <w:jc w:val="both"/>
        <w:rPr>
          <w:rFonts w:ascii="Georgia" w:hAnsi="Georgia"/>
          <w:sz w:val="18"/>
          <w:szCs w:val="20"/>
          <w:rtl/>
        </w:rPr>
      </w:pPr>
      <w:r w:rsidRPr="00477056">
        <w:rPr>
          <w:rFonts w:ascii="Georgia" w:hAnsi="Georgia"/>
          <w:b/>
          <w:bCs/>
          <w:sz w:val="18"/>
          <w:szCs w:val="20"/>
          <w:rtl/>
        </w:rPr>
        <w:t xml:space="preserve">1. </w:t>
      </w:r>
      <w:r w:rsidR="004F6698">
        <w:rPr>
          <w:rFonts w:ascii="Georgia" w:hAnsi="Georgia"/>
          <w:b/>
          <w:bCs/>
          <w:sz w:val="18"/>
          <w:szCs w:val="20"/>
          <w:rtl/>
        </w:rPr>
        <w:tab/>
      </w:r>
      <w:r w:rsidRPr="00477056">
        <w:rPr>
          <w:rFonts w:ascii="Georgia" w:hAnsi="Georgia"/>
          <w:b/>
          <w:bCs/>
          <w:sz w:val="18"/>
          <w:szCs w:val="20"/>
          <w:rtl/>
        </w:rPr>
        <w:t xml:space="preserve">הנעת פונים לצאת לעבוד וסיוע בזיהוי יכולותיהם ובאמונה בהן. </w:t>
      </w:r>
      <w:r w:rsidRPr="00477056">
        <w:rPr>
          <w:rFonts w:ascii="Georgia" w:hAnsi="Georgia"/>
          <w:sz w:val="18"/>
          <w:szCs w:val="20"/>
          <w:rtl/>
        </w:rPr>
        <w:t>בשל ההזדמנויות המצומצמות, ההנעה של פונים לעבוד מחייבת גם להעריך את נכונותם ואת יכולתם לצאת לעבוד מחוץ ליישוב. במקרה של נשים, היא מחייבת לעיתים גם התמודדות עם הגבר כדי לקבל את הסכמתו. "יש הרבה מקרים שבאמצעות תהליך, הגברים משתכנעים ונפתחים לאופציה כי נשותיהם תצאנה לעבוד. ואני יודעת שזה לא קל עבורם [...] אומרים 'אוקיי, צאי לעבוד אבל תזכרי שאני זה שמחזיק את המושכות בידיים'" (</w:t>
      </w:r>
      <w:proofErr w:type="spellStart"/>
      <w:r w:rsidRPr="00477056">
        <w:rPr>
          <w:rFonts w:ascii="Georgia" w:hAnsi="Georgia"/>
          <w:sz w:val="18"/>
          <w:szCs w:val="20"/>
          <w:rtl/>
        </w:rPr>
        <w:t>ראניה</w:t>
      </w:r>
      <w:proofErr w:type="spellEnd"/>
      <w:r w:rsidRPr="00477056">
        <w:rPr>
          <w:rFonts w:ascii="Georgia" w:hAnsi="Georgia"/>
          <w:sz w:val="18"/>
          <w:szCs w:val="20"/>
          <w:rtl/>
        </w:rPr>
        <w:t>, עו"ס).</w:t>
      </w:r>
    </w:p>
    <w:p w14:paraId="0CDA8F93" w14:textId="75DA9C73" w:rsidR="00477056" w:rsidRPr="00477056" w:rsidRDefault="00477056" w:rsidP="00A37A24">
      <w:pPr>
        <w:spacing w:after="180" w:line="280" w:lineRule="exact"/>
        <w:ind w:left="397" w:hanging="397"/>
        <w:jc w:val="both"/>
        <w:rPr>
          <w:rFonts w:ascii="Georgia" w:hAnsi="Georgia"/>
          <w:sz w:val="18"/>
          <w:szCs w:val="20"/>
          <w:rtl/>
        </w:rPr>
      </w:pPr>
      <w:r w:rsidRPr="00477056">
        <w:rPr>
          <w:rFonts w:ascii="Georgia" w:hAnsi="Georgia"/>
          <w:b/>
          <w:bCs/>
          <w:sz w:val="18"/>
          <w:szCs w:val="20"/>
          <w:rtl/>
        </w:rPr>
        <w:t xml:space="preserve">2. </w:t>
      </w:r>
      <w:r w:rsidR="004F6698">
        <w:rPr>
          <w:rFonts w:ascii="Georgia" w:hAnsi="Georgia"/>
          <w:b/>
          <w:bCs/>
          <w:sz w:val="18"/>
          <w:szCs w:val="20"/>
          <w:rtl/>
        </w:rPr>
        <w:tab/>
      </w:r>
      <w:r w:rsidRPr="00477056">
        <w:rPr>
          <w:rFonts w:ascii="Georgia" w:hAnsi="Georgia"/>
          <w:b/>
          <w:bCs/>
          <w:sz w:val="18"/>
          <w:szCs w:val="20"/>
          <w:rtl/>
        </w:rPr>
        <w:t>סיוע בהפניה ובמימון הכשרות מקצועיות</w:t>
      </w:r>
      <w:r w:rsidRPr="00477056">
        <w:rPr>
          <w:rFonts w:ascii="Georgia" w:hAnsi="Georgia"/>
          <w:sz w:val="18"/>
          <w:szCs w:val="20"/>
          <w:rtl/>
        </w:rPr>
        <w:t xml:space="preserve">, כולל </w:t>
      </w:r>
      <w:r w:rsidR="006340F8">
        <w:rPr>
          <w:rFonts w:ascii="Georgia" w:hAnsi="Georgia" w:hint="cs"/>
          <w:sz w:val="18"/>
          <w:szCs w:val="20"/>
          <w:rtl/>
        </w:rPr>
        <w:t xml:space="preserve">לימודי </w:t>
      </w:r>
      <w:r w:rsidRPr="00477056">
        <w:rPr>
          <w:rFonts w:ascii="Georgia" w:hAnsi="Georgia"/>
          <w:sz w:val="18"/>
          <w:szCs w:val="20"/>
          <w:rtl/>
        </w:rPr>
        <w:t>עברית, למי שזקוקים לכך. אחת העובדות הסוציאליות אף סיפרה כי נשים שלמדו עברית ביקשו ללמוד גם אנגלית.</w:t>
      </w:r>
    </w:p>
    <w:p w14:paraId="37C2A629" w14:textId="219E5508" w:rsidR="00477056" w:rsidRPr="00477056" w:rsidRDefault="00477056" w:rsidP="004F6698">
      <w:pPr>
        <w:spacing w:after="180" w:line="280" w:lineRule="exact"/>
        <w:ind w:left="397" w:hanging="397"/>
        <w:jc w:val="both"/>
        <w:rPr>
          <w:rFonts w:ascii="Georgia" w:hAnsi="Georgia"/>
          <w:sz w:val="18"/>
          <w:szCs w:val="20"/>
          <w:rtl/>
        </w:rPr>
      </w:pPr>
      <w:r w:rsidRPr="00477056">
        <w:rPr>
          <w:rFonts w:ascii="Georgia" w:hAnsi="Georgia"/>
          <w:b/>
          <w:bCs/>
          <w:sz w:val="18"/>
          <w:szCs w:val="20"/>
          <w:rtl/>
        </w:rPr>
        <w:t>3</w:t>
      </w:r>
      <w:r w:rsidRPr="00477056">
        <w:rPr>
          <w:rFonts w:ascii="Georgia" w:hAnsi="Georgia"/>
          <w:sz w:val="18"/>
          <w:szCs w:val="20"/>
          <w:rtl/>
        </w:rPr>
        <w:t xml:space="preserve">. </w:t>
      </w:r>
      <w:r w:rsidR="004F6698">
        <w:rPr>
          <w:rFonts w:ascii="Georgia" w:hAnsi="Georgia"/>
          <w:sz w:val="18"/>
          <w:szCs w:val="20"/>
          <w:rtl/>
        </w:rPr>
        <w:tab/>
      </w:r>
      <w:r w:rsidRPr="00477056">
        <w:rPr>
          <w:rFonts w:ascii="Georgia" w:hAnsi="Georgia"/>
          <w:b/>
          <w:bCs/>
          <w:sz w:val="18"/>
          <w:szCs w:val="20"/>
          <w:rtl/>
        </w:rPr>
        <w:t>הגברת המודעות של הפונים לזכויותיהם בתחום התעסוקה</w:t>
      </w:r>
      <w:r w:rsidRPr="00477056">
        <w:rPr>
          <w:rFonts w:ascii="Georgia" w:hAnsi="Georgia"/>
          <w:sz w:val="18"/>
          <w:szCs w:val="20"/>
          <w:rtl/>
        </w:rPr>
        <w:t>, כדי למנוע עבודה בתנאי העסקה פוגעניים: "אני תמיד לא מקבלת שהם יעבדו בלי הזכויות שלהם. אני אומרת להם 'תעבדו חודש חודשיים עד שנשיג עבודה עם זכויות. אנחנו נמשיך לחפש עבודה יותר טוב עם תלוש'" (</w:t>
      </w:r>
      <w:proofErr w:type="spellStart"/>
      <w:r w:rsidRPr="00477056">
        <w:rPr>
          <w:rFonts w:ascii="Georgia" w:hAnsi="Georgia"/>
          <w:sz w:val="18"/>
          <w:szCs w:val="20"/>
          <w:rtl/>
        </w:rPr>
        <w:t>בושרא</w:t>
      </w:r>
      <w:proofErr w:type="spellEnd"/>
      <w:r w:rsidRPr="00477056">
        <w:rPr>
          <w:rFonts w:ascii="Georgia" w:hAnsi="Georgia"/>
          <w:sz w:val="18"/>
          <w:szCs w:val="20"/>
          <w:rtl/>
        </w:rPr>
        <w:t>, עו"ס).</w:t>
      </w:r>
    </w:p>
    <w:p w14:paraId="416D4FBB" w14:textId="5230D8B1" w:rsidR="00477056" w:rsidRPr="00477056" w:rsidRDefault="00477056" w:rsidP="004F6698">
      <w:pPr>
        <w:spacing w:after="180" w:line="280" w:lineRule="exact"/>
        <w:ind w:left="397" w:hanging="397"/>
        <w:jc w:val="both"/>
        <w:rPr>
          <w:rFonts w:ascii="Georgia" w:hAnsi="Georgia"/>
          <w:sz w:val="18"/>
          <w:szCs w:val="20"/>
          <w:rtl/>
        </w:rPr>
      </w:pPr>
      <w:r w:rsidRPr="00477056">
        <w:rPr>
          <w:rFonts w:ascii="Georgia" w:hAnsi="Georgia"/>
          <w:b/>
          <w:bCs/>
          <w:sz w:val="18"/>
          <w:szCs w:val="20"/>
          <w:rtl/>
        </w:rPr>
        <w:t>4</w:t>
      </w:r>
      <w:r w:rsidRPr="00477056">
        <w:rPr>
          <w:rFonts w:ascii="Georgia" w:hAnsi="Georgia"/>
          <w:sz w:val="18"/>
          <w:szCs w:val="20"/>
          <w:rtl/>
        </w:rPr>
        <w:t xml:space="preserve">. </w:t>
      </w:r>
      <w:r w:rsidR="004F6698">
        <w:rPr>
          <w:rFonts w:ascii="Georgia" w:hAnsi="Georgia"/>
          <w:sz w:val="18"/>
          <w:szCs w:val="20"/>
          <w:rtl/>
        </w:rPr>
        <w:tab/>
      </w:r>
      <w:r w:rsidRPr="00477056">
        <w:rPr>
          <w:rFonts w:ascii="Georgia" w:hAnsi="Georgia"/>
          <w:b/>
          <w:bCs/>
          <w:sz w:val="18"/>
          <w:szCs w:val="20"/>
          <w:rtl/>
        </w:rPr>
        <w:t>התנעת יוזמות להקמת עסקים ביתיים.</w:t>
      </w:r>
      <w:r w:rsidRPr="00477056">
        <w:rPr>
          <w:rFonts w:ascii="Georgia" w:hAnsi="Georgia"/>
          <w:sz w:val="18"/>
          <w:szCs w:val="20"/>
          <w:rtl/>
        </w:rPr>
        <w:t xml:space="preserve"> בקרב נשים בדואיות בנגב ונשים דרוזיות בצפון, הכשרות מקצועיות רבות התקיימו בשכונה המגורים, כדי לאפשר את השתתפותן של נשים שהמשפחה והקהילה מגבילות את חופש התנועה שלהן.</w:t>
      </w:r>
    </w:p>
    <w:p w14:paraId="199894CC" w14:textId="77777777" w:rsidR="00477056" w:rsidRPr="00477056" w:rsidRDefault="00477056" w:rsidP="004F6698">
      <w:pPr>
        <w:pStyle w:val="Quote"/>
        <w:spacing w:before="120" w:after="180" w:line="240" w:lineRule="exact"/>
        <w:ind w:left="567" w:right="0"/>
        <w:jc w:val="both"/>
        <w:rPr>
          <w:rFonts w:ascii="Georgia" w:hAnsi="Georgia" w:cs="David"/>
          <w:i w:val="0"/>
          <w:iCs w:val="0"/>
          <w:sz w:val="18"/>
          <w:szCs w:val="20"/>
          <w:rtl/>
        </w:rPr>
      </w:pPr>
      <w:r w:rsidRPr="00477056">
        <w:rPr>
          <w:rFonts w:ascii="Georgia" w:hAnsi="Georgia" w:cs="David"/>
          <w:i w:val="0"/>
          <w:iCs w:val="0"/>
          <w:sz w:val="18"/>
          <w:szCs w:val="20"/>
          <w:rtl/>
        </w:rPr>
        <w:t>יש לי קבוצת נשים דרוזיות דתיות. פנתה אליי מישהי אדוקה מתוך הקבוצה שרצתה ללמוד תפירה. אמרתי בואי נבדוק יחד. היא לא יכולה לעבוד מחוץ לבית, זאת מציאות. אז חיפשתי וחיפשתי אין מקום ביישוב שמלמד תפירה [...] לפתע מישהי אחרת מקבוצת הדרוזיות פנתה אליי רוצה ללמוד תפירה [...] התחלתי לבדוק איך אני יכולה לפתוח קורס מותאם לנשים האלו, כלומר 90% שלא יכולות לצאת מבתיהן או שהן צריכות ללוות קרוב משפחה [...] באמצעות קרן מיוחדת פתחנו קורס שהשתתפו בו 12 נשים. ואפילו היו פעילים שעזרו בכל נושא הבאת הנשים מהבתים לעוצמה באוטו בתשלום, ויש כאלה שהסיעו אחד את השני. חמש-שש נשים מהן התחילו לעבוד מהבית (</w:t>
      </w:r>
      <w:proofErr w:type="spellStart"/>
      <w:r w:rsidRPr="00477056">
        <w:rPr>
          <w:rFonts w:ascii="Georgia" w:hAnsi="Georgia" w:cs="David"/>
          <w:i w:val="0"/>
          <w:iCs w:val="0"/>
          <w:sz w:val="18"/>
          <w:szCs w:val="20"/>
          <w:rtl/>
        </w:rPr>
        <w:t>ראניה</w:t>
      </w:r>
      <w:proofErr w:type="spellEnd"/>
      <w:r w:rsidRPr="00477056">
        <w:rPr>
          <w:rFonts w:ascii="Georgia" w:hAnsi="Georgia" w:cs="David"/>
          <w:i w:val="0"/>
          <w:iCs w:val="0"/>
          <w:sz w:val="18"/>
          <w:szCs w:val="20"/>
          <w:rtl/>
        </w:rPr>
        <w:t xml:space="preserve">, עו"ס). </w:t>
      </w:r>
    </w:p>
    <w:p w14:paraId="0D91241D" w14:textId="77777777" w:rsidR="00477056" w:rsidRPr="00477056" w:rsidRDefault="00477056" w:rsidP="004F6698">
      <w:pPr>
        <w:pStyle w:val="Quote"/>
        <w:spacing w:before="120" w:after="180" w:line="240" w:lineRule="exact"/>
        <w:ind w:left="567" w:right="0"/>
        <w:jc w:val="both"/>
        <w:rPr>
          <w:rFonts w:ascii="Georgia" w:hAnsi="Georgia" w:cs="David"/>
          <w:i w:val="0"/>
          <w:iCs w:val="0"/>
          <w:sz w:val="18"/>
          <w:szCs w:val="20"/>
        </w:rPr>
      </w:pPr>
      <w:r w:rsidRPr="00477056">
        <w:rPr>
          <w:rFonts w:ascii="Georgia" w:hAnsi="Georgia" w:cs="David"/>
          <w:i w:val="0"/>
          <w:iCs w:val="0"/>
          <w:sz w:val="18"/>
          <w:szCs w:val="20"/>
          <w:rtl/>
        </w:rPr>
        <w:t>אם מגיעים במנטליות של "אני לא רוצה שאשתי תצא" [...] אז יש אפשרות להתקדם מהבית. עוזרים להם למצוא עצמם במשהו שאוהבים מהבית (זינב, עו"ס).</w:t>
      </w:r>
    </w:p>
    <w:p w14:paraId="14232363" w14:textId="77777777" w:rsidR="00477056" w:rsidRPr="00477056" w:rsidRDefault="00477056" w:rsidP="004F6698">
      <w:pPr>
        <w:pStyle w:val="Quote"/>
        <w:spacing w:before="120" w:after="180" w:line="240" w:lineRule="exact"/>
        <w:ind w:left="567" w:right="0"/>
        <w:jc w:val="both"/>
        <w:rPr>
          <w:rFonts w:ascii="Georgia" w:hAnsi="Georgia" w:cs="David"/>
          <w:i w:val="0"/>
          <w:iCs w:val="0"/>
          <w:sz w:val="18"/>
          <w:szCs w:val="20"/>
          <w:rtl/>
        </w:rPr>
      </w:pPr>
      <w:r w:rsidRPr="00477056">
        <w:rPr>
          <w:rFonts w:ascii="Georgia" w:hAnsi="Georgia" w:cs="David"/>
          <w:i w:val="0"/>
          <w:iCs w:val="0"/>
          <w:sz w:val="18"/>
          <w:szCs w:val="20"/>
          <w:rtl/>
        </w:rPr>
        <w:t>היום קורס המטפלות נעשה בשכונות שגרות בהן משפחות סגורות [...] אם מישהו נכנס אליהם ממשפחה אחרת יש רגישות מסוימת [...] "ההורים שלכן לא מאשרים לכן שאתן תצאו ותעבדו, אנחנו לא שוכחות אתכן ואנחנו ניתן לכן תנאים נוחים כך שתוכלו לעבוד". יהיה מעון וישתלבו בקורס ויעבדו במעון (</w:t>
      </w:r>
      <w:proofErr w:type="spellStart"/>
      <w:r w:rsidRPr="00477056">
        <w:rPr>
          <w:rFonts w:ascii="Georgia" w:hAnsi="Georgia" w:cs="David"/>
          <w:i w:val="0"/>
          <w:iCs w:val="0"/>
          <w:sz w:val="18"/>
          <w:szCs w:val="20"/>
          <w:rtl/>
        </w:rPr>
        <w:t>עזיזה</w:t>
      </w:r>
      <w:proofErr w:type="spellEnd"/>
      <w:r w:rsidRPr="00477056">
        <w:rPr>
          <w:rFonts w:ascii="Georgia" w:hAnsi="Georgia" w:cs="David"/>
          <w:i w:val="0"/>
          <w:iCs w:val="0"/>
          <w:sz w:val="18"/>
          <w:szCs w:val="20"/>
          <w:rtl/>
        </w:rPr>
        <w:t xml:space="preserve">, עו"ס). </w:t>
      </w:r>
      <w:bookmarkStart w:id="7" w:name="_Toc127465338"/>
      <w:bookmarkStart w:id="8" w:name="_Toc127953439"/>
      <w:bookmarkEnd w:id="7"/>
      <w:bookmarkEnd w:id="8"/>
    </w:p>
    <w:p w14:paraId="23113EF2"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lastRenderedPageBreak/>
        <w:t xml:space="preserve">אל מול המחסור בהזדמנויות תעסוקה והחסמים התרבותיים לעבודת נשים מתגלות אפוא </w:t>
      </w:r>
      <w:proofErr w:type="spellStart"/>
      <w:r w:rsidRPr="00477056">
        <w:rPr>
          <w:rFonts w:ascii="Georgia" w:hAnsi="Georgia"/>
          <w:sz w:val="18"/>
          <w:szCs w:val="20"/>
          <w:rtl/>
        </w:rPr>
        <w:t>פרקטיקות</w:t>
      </w:r>
      <w:proofErr w:type="spellEnd"/>
      <w:r w:rsidRPr="00477056">
        <w:rPr>
          <w:rFonts w:ascii="Georgia" w:hAnsi="Georgia"/>
          <w:sz w:val="18"/>
          <w:szCs w:val="20"/>
          <w:rtl/>
        </w:rPr>
        <w:t xml:space="preserve"> מגוונות המשלבות הבנה של החסמים החברתיים, רגישות תרבותית, יצירתיות ופרו-אקטיביות. </w:t>
      </w:r>
      <w:proofErr w:type="spellStart"/>
      <w:r w:rsidRPr="00477056">
        <w:rPr>
          <w:rFonts w:ascii="Georgia" w:hAnsi="Georgia"/>
          <w:sz w:val="18"/>
          <w:szCs w:val="20"/>
          <w:rtl/>
        </w:rPr>
        <w:t>הפרקטיקות</w:t>
      </w:r>
      <w:proofErr w:type="spellEnd"/>
      <w:r w:rsidRPr="00477056">
        <w:rPr>
          <w:rFonts w:ascii="Georgia" w:hAnsi="Georgia"/>
          <w:sz w:val="18"/>
          <w:szCs w:val="20"/>
          <w:rtl/>
        </w:rPr>
        <w:t xml:space="preserve"> הללו מלוות בתסכול מתמשך עקב חוסר היכולת של המרואיינות להביא לשינוי מבני יסודי בשוק התעסוקה ובמחסור בהזדמנויות תעסוקה, אשר מייצרים הפליה מוסדית. </w:t>
      </w:r>
    </w:p>
    <w:p w14:paraId="1AC56491" w14:textId="77777777" w:rsidR="004F6698" w:rsidRPr="004F6698" w:rsidRDefault="004F6698" w:rsidP="004F6698">
      <w:pPr>
        <w:spacing w:line="280" w:lineRule="exact"/>
        <w:jc w:val="both"/>
        <w:rPr>
          <w:rFonts w:ascii="Georgia" w:hAnsi="Georgia"/>
          <w:sz w:val="18"/>
          <w:szCs w:val="20"/>
          <w:rtl/>
        </w:rPr>
      </w:pPr>
    </w:p>
    <w:p w14:paraId="46C24CC8" w14:textId="70B144AD" w:rsidR="00477056" w:rsidRPr="00477056" w:rsidRDefault="00477056" w:rsidP="00477056">
      <w:pPr>
        <w:keepNext/>
        <w:keepLines/>
        <w:spacing w:line="280" w:lineRule="exact"/>
        <w:jc w:val="both"/>
        <w:outlineLvl w:val="3"/>
        <w:rPr>
          <w:b/>
          <w:bCs/>
          <w:color w:val="BA2A16"/>
          <w:sz w:val="20"/>
          <w:szCs w:val="22"/>
          <w:rtl/>
        </w:rPr>
      </w:pPr>
      <w:r w:rsidRPr="00477056">
        <w:rPr>
          <w:b/>
          <w:bCs/>
          <w:color w:val="BA2A16"/>
          <w:sz w:val="20"/>
          <w:szCs w:val="22"/>
          <w:rtl/>
        </w:rPr>
        <w:t xml:space="preserve">היעדר שירותי רווחה וטיפול נגישים לחברה הערבית </w:t>
      </w:r>
    </w:p>
    <w:p w14:paraId="270881C1"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בדומה למחסור בהזדמנויות תעסוקה, המרואיינות מתארות גם קושי להיעזר בשירותים טיפוליים בשל הזמינות הנמוכה של שירותים מותאמים לצורכי החברה הערבית. קיים מחסור בשירותים לייעוץ או לטיפול נפשי שיש בהם מטפלים דוברי ערבית, או שדרכי הטיפול שלהם מותאמים לצרכים של החברה הערבית: "לטיפול זוגי באופן כללי מעבירים לתחנה מרוחקת. ולפעמים מתקשים שם. אין דובר ערבית ואם רואים שהמשפחה יכולה להסתדר באופן פרטי אז מפנים למטפל זוגי או משפחתי שהם ישלמו. לא פשוט (עביר, עו"ס).</w:t>
      </w:r>
    </w:p>
    <w:p w14:paraId="0C668E93"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גם משך הזמן המוגבל המוקצה לטיפול אינו מתאים לצורכי החברה הערבית, שכן הנטייה שלא לפנות לגורמי עזרה, הקושי לחשוף רגשות, חוסר האמון במוסדות מדיניים פורמליים והקושי לגייס את בני המשפחה לטיפול מחייבים תהליכים ארוכים. </w:t>
      </w:r>
    </w:p>
    <w:p w14:paraId="55785F7D" w14:textId="77777777" w:rsidR="00477056" w:rsidRPr="00477056" w:rsidRDefault="00477056" w:rsidP="00477056">
      <w:pPr>
        <w:pStyle w:val="ListParagraph"/>
        <w:spacing w:before="120" w:after="180" w:line="240" w:lineRule="exact"/>
        <w:ind w:left="567"/>
        <w:jc w:val="both"/>
        <w:rPr>
          <w:rFonts w:ascii="David" w:hAnsi="David" w:cs="David"/>
          <w:sz w:val="20"/>
          <w:szCs w:val="20"/>
        </w:rPr>
      </w:pPr>
      <w:r w:rsidRPr="00477056">
        <w:rPr>
          <w:rFonts w:ascii="David" w:hAnsi="David" w:cs="David"/>
          <w:sz w:val="20"/>
          <w:szCs w:val="20"/>
          <w:rtl/>
        </w:rPr>
        <w:t>במגזר הערבי אנחנו לא פתוחים לדבר על משהו בתוכנו, על מה שעברנו, על רגשות. למה? כי זה בא מאלוהים. הוא החליט וזה הגורל שלנו. כדי לשנות תפיסה מדובר בתהליך, לשנות את התפיסה ואת הערכים האלו ולוקח זמן, וזה מה שמייחד אותנו והסיבה למה לוקח יותר זמן ליצור שינוי (</w:t>
      </w:r>
      <w:proofErr w:type="spellStart"/>
      <w:r w:rsidRPr="00477056">
        <w:rPr>
          <w:rFonts w:ascii="David" w:hAnsi="David" w:cs="David"/>
          <w:sz w:val="20"/>
          <w:szCs w:val="20"/>
          <w:rtl/>
        </w:rPr>
        <w:t>עמראן</w:t>
      </w:r>
      <w:proofErr w:type="spellEnd"/>
      <w:r w:rsidRPr="00477056">
        <w:rPr>
          <w:rFonts w:ascii="David" w:hAnsi="David" w:cs="David"/>
          <w:sz w:val="20"/>
          <w:szCs w:val="20"/>
          <w:rtl/>
        </w:rPr>
        <w:t xml:space="preserve">, עו"ס). </w:t>
      </w:r>
    </w:p>
    <w:p w14:paraId="05F42032" w14:textId="77777777" w:rsidR="00477056" w:rsidRPr="0007555E" w:rsidRDefault="00477056" w:rsidP="0007555E">
      <w:pPr>
        <w:pStyle w:val="ListParagraph"/>
        <w:spacing w:before="120" w:after="180" w:line="240" w:lineRule="exact"/>
        <w:ind w:left="567"/>
        <w:jc w:val="both"/>
        <w:rPr>
          <w:rFonts w:ascii="David" w:hAnsi="David" w:cs="David"/>
          <w:i/>
          <w:iCs/>
          <w:sz w:val="20"/>
          <w:szCs w:val="20"/>
          <w:rtl/>
        </w:rPr>
      </w:pPr>
      <w:r w:rsidRPr="0007555E">
        <w:rPr>
          <w:rFonts w:ascii="David" w:hAnsi="David" w:cs="David" w:hint="eastAsia"/>
          <w:sz w:val="20"/>
          <w:szCs w:val="20"/>
          <w:rtl/>
        </w:rPr>
        <w:t>נותנים</w:t>
      </w:r>
      <w:r w:rsidRPr="0007555E">
        <w:rPr>
          <w:rFonts w:ascii="David" w:hAnsi="David" w:cs="David"/>
          <w:sz w:val="20"/>
          <w:szCs w:val="20"/>
          <w:rtl/>
        </w:rPr>
        <w:t xml:space="preserve"> </w:t>
      </w:r>
      <w:r w:rsidRPr="0007555E">
        <w:rPr>
          <w:rFonts w:ascii="David" w:hAnsi="David" w:cs="David" w:hint="eastAsia"/>
          <w:sz w:val="20"/>
          <w:szCs w:val="20"/>
          <w:rtl/>
        </w:rPr>
        <w:t>לי</w:t>
      </w:r>
      <w:r w:rsidRPr="0007555E">
        <w:rPr>
          <w:rFonts w:ascii="David" w:hAnsi="David" w:cs="David"/>
          <w:sz w:val="20"/>
          <w:szCs w:val="20"/>
          <w:rtl/>
        </w:rPr>
        <w:t xml:space="preserve"> </w:t>
      </w:r>
      <w:r w:rsidRPr="0007555E">
        <w:rPr>
          <w:rFonts w:ascii="David" w:hAnsi="David" w:cs="David" w:hint="eastAsia"/>
          <w:sz w:val="20"/>
          <w:szCs w:val="20"/>
          <w:rtl/>
        </w:rPr>
        <w:t>שנה</w:t>
      </w:r>
      <w:r w:rsidRPr="0007555E">
        <w:rPr>
          <w:rFonts w:ascii="David" w:hAnsi="David" w:cs="David"/>
          <w:sz w:val="20"/>
          <w:szCs w:val="20"/>
          <w:rtl/>
        </w:rPr>
        <w:t xml:space="preserve">, </w:t>
      </w:r>
      <w:r w:rsidRPr="0007555E">
        <w:rPr>
          <w:rFonts w:ascii="David" w:hAnsi="David" w:cs="David" w:hint="eastAsia"/>
          <w:sz w:val="20"/>
          <w:szCs w:val="20"/>
          <w:rtl/>
        </w:rPr>
        <w:t>שמהם</w:t>
      </w:r>
      <w:r w:rsidRPr="0007555E">
        <w:rPr>
          <w:rFonts w:ascii="David" w:hAnsi="David" w:cs="David"/>
          <w:sz w:val="20"/>
          <w:szCs w:val="20"/>
          <w:rtl/>
        </w:rPr>
        <w:t xml:space="preserve"> </w:t>
      </w:r>
      <w:r w:rsidRPr="0007555E">
        <w:rPr>
          <w:rFonts w:ascii="David" w:hAnsi="David" w:cs="David" w:hint="eastAsia"/>
          <w:sz w:val="20"/>
          <w:szCs w:val="20"/>
          <w:rtl/>
        </w:rPr>
        <w:t>שישה</w:t>
      </w:r>
      <w:r w:rsidRPr="0007555E">
        <w:rPr>
          <w:rFonts w:ascii="David" w:hAnsi="David" w:cs="David"/>
          <w:sz w:val="20"/>
          <w:szCs w:val="20"/>
          <w:rtl/>
        </w:rPr>
        <w:t xml:space="preserve"> </w:t>
      </w:r>
      <w:r w:rsidRPr="0007555E">
        <w:rPr>
          <w:rFonts w:ascii="David" w:hAnsi="David" w:cs="David" w:hint="eastAsia"/>
          <w:sz w:val="20"/>
          <w:szCs w:val="20"/>
          <w:rtl/>
        </w:rPr>
        <w:t>חודשים</w:t>
      </w:r>
      <w:r w:rsidRPr="0007555E">
        <w:rPr>
          <w:rFonts w:ascii="David" w:hAnsi="David" w:cs="David"/>
          <w:sz w:val="20"/>
          <w:szCs w:val="20"/>
          <w:rtl/>
        </w:rPr>
        <w:t xml:space="preserve"> </w:t>
      </w:r>
      <w:r w:rsidRPr="0007555E">
        <w:rPr>
          <w:rFonts w:ascii="David" w:hAnsi="David" w:cs="David" w:hint="eastAsia"/>
          <w:sz w:val="20"/>
          <w:szCs w:val="20"/>
          <w:rtl/>
        </w:rPr>
        <w:t>אני</w:t>
      </w:r>
      <w:r w:rsidRPr="0007555E">
        <w:rPr>
          <w:rFonts w:ascii="David" w:hAnsi="David" w:cs="David"/>
          <w:sz w:val="20"/>
          <w:szCs w:val="20"/>
          <w:rtl/>
        </w:rPr>
        <w:t xml:space="preserve"> </w:t>
      </w:r>
      <w:r w:rsidRPr="0007555E">
        <w:rPr>
          <w:rFonts w:ascii="David" w:hAnsi="David" w:cs="David" w:hint="eastAsia"/>
          <w:sz w:val="20"/>
          <w:szCs w:val="20"/>
          <w:rtl/>
        </w:rPr>
        <w:t>צריכה</w:t>
      </w:r>
      <w:r w:rsidRPr="0007555E">
        <w:rPr>
          <w:rFonts w:ascii="David" w:hAnsi="David" w:cs="David"/>
          <w:sz w:val="20"/>
          <w:szCs w:val="20"/>
          <w:rtl/>
        </w:rPr>
        <w:t xml:space="preserve"> </w:t>
      </w:r>
      <w:r w:rsidRPr="0007555E">
        <w:rPr>
          <w:rFonts w:ascii="David" w:hAnsi="David" w:cs="David" w:hint="eastAsia"/>
          <w:sz w:val="20"/>
          <w:szCs w:val="20"/>
          <w:rtl/>
        </w:rPr>
        <w:t>לרכוש</w:t>
      </w:r>
      <w:r w:rsidRPr="0007555E">
        <w:rPr>
          <w:rFonts w:ascii="David" w:hAnsi="David" w:cs="David"/>
          <w:sz w:val="20"/>
          <w:szCs w:val="20"/>
          <w:rtl/>
        </w:rPr>
        <w:t xml:space="preserve"> </w:t>
      </w:r>
      <w:r w:rsidRPr="0007555E">
        <w:rPr>
          <w:rFonts w:ascii="David" w:hAnsi="David" w:cs="David" w:hint="eastAsia"/>
          <w:sz w:val="20"/>
          <w:szCs w:val="20"/>
          <w:rtl/>
        </w:rPr>
        <w:t>אמון</w:t>
      </w:r>
      <w:r w:rsidRPr="0007555E">
        <w:rPr>
          <w:rFonts w:ascii="David" w:hAnsi="David" w:cs="David"/>
          <w:sz w:val="20"/>
          <w:szCs w:val="20"/>
          <w:rtl/>
        </w:rPr>
        <w:t xml:space="preserve"> </w:t>
      </w:r>
      <w:r w:rsidRPr="0007555E">
        <w:rPr>
          <w:rFonts w:ascii="David" w:hAnsi="David" w:cs="David" w:hint="eastAsia"/>
          <w:sz w:val="20"/>
          <w:szCs w:val="20"/>
          <w:rtl/>
        </w:rPr>
        <w:t>עם</w:t>
      </w:r>
      <w:r w:rsidRPr="0007555E">
        <w:rPr>
          <w:rFonts w:ascii="David" w:hAnsi="David" w:cs="David"/>
          <w:sz w:val="20"/>
          <w:szCs w:val="20"/>
          <w:rtl/>
        </w:rPr>
        <w:t xml:space="preserve"> </w:t>
      </w:r>
      <w:r w:rsidRPr="0007555E">
        <w:rPr>
          <w:rFonts w:ascii="David" w:hAnsi="David" w:cs="David" w:hint="eastAsia"/>
          <w:sz w:val="20"/>
          <w:szCs w:val="20"/>
          <w:rtl/>
        </w:rPr>
        <w:t>הצעיר</w:t>
      </w:r>
      <w:r w:rsidRPr="0007555E">
        <w:rPr>
          <w:rFonts w:ascii="David" w:hAnsi="David" w:cs="David"/>
          <w:sz w:val="20"/>
          <w:szCs w:val="20"/>
          <w:rtl/>
        </w:rPr>
        <w:t xml:space="preserve"> </w:t>
      </w:r>
      <w:r w:rsidRPr="0007555E">
        <w:rPr>
          <w:rFonts w:ascii="David" w:hAnsi="David" w:cs="David" w:hint="eastAsia"/>
          <w:sz w:val="20"/>
          <w:szCs w:val="20"/>
          <w:rtl/>
        </w:rPr>
        <w:t>או</w:t>
      </w:r>
      <w:r w:rsidRPr="0007555E">
        <w:rPr>
          <w:rFonts w:ascii="David" w:hAnsi="David" w:cs="David"/>
          <w:sz w:val="20"/>
          <w:szCs w:val="20"/>
          <w:rtl/>
        </w:rPr>
        <w:t xml:space="preserve"> </w:t>
      </w:r>
      <w:r w:rsidRPr="0007555E">
        <w:rPr>
          <w:rFonts w:ascii="David" w:hAnsi="David" w:cs="David" w:hint="eastAsia"/>
          <w:sz w:val="20"/>
          <w:szCs w:val="20"/>
          <w:rtl/>
        </w:rPr>
        <w:t>הצעירה</w:t>
      </w:r>
      <w:r w:rsidRPr="0007555E">
        <w:rPr>
          <w:rFonts w:ascii="David" w:hAnsi="David" w:cs="David"/>
          <w:sz w:val="20"/>
          <w:szCs w:val="20"/>
          <w:rtl/>
        </w:rPr>
        <w:t xml:space="preserve"> </w:t>
      </w:r>
      <w:r w:rsidRPr="0007555E">
        <w:rPr>
          <w:rFonts w:ascii="David" w:hAnsi="David" w:cs="David" w:hint="eastAsia"/>
          <w:sz w:val="20"/>
          <w:szCs w:val="20"/>
          <w:rtl/>
        </w:rPr>
        <w:t>כדי</w:t>
      </w:r>
      <w:r w:rsidRPr="0007555E">
        <w:rPr>
          <w:rFonts w:ascii="David" w:hAnsi="David" w:cs="David"/>
          <w:sz w:val="20"/>
          <w:szCs w:val="20"/>
          <w:rtl/>
        </w:rPr>
        <w:t xml:space="preserve"> </w:t>
      </w:r>
      <w:r w:rsidRPr="0007555E">
        <w:rPr>
          <w:rFonts w:ascii="David" w:hAnsi="David" w:cs="David" w:hint="eastAsia"/>
          <w:sz w:val="20"/>
          <w:szCs w:val="20"/>
          <w:rtl/>
        </w:rPr>
        <w:t>שיבוא</w:t>
      </w:r>
      <w:r w:rsidRPr="0007555E">
        <w:rPr>
          <w:rFonts w:ascii="David" w:hAnsi="David" w:cs="David"/>
          <w:sz w:val="20"/>
          <w:szCs w:val="20"/>
          <w:rtl/>
        </w:rPr>
        <w:t xml:space="preserve"> </w:t>
      </w:r>
      <w:r w:rsidRPr="0007555E">
        <w:rPr>
          <w:rFonts w:ascii="David" w:hAnsi="David" w:cs="David" w:hint="eastAsia"/>
          <w:sz w:val="20"/>
          <w:szCs w:val="20"/>
          <w:rtl/>
        </w:rPr>
        <w:t>למפגשים</w:t>
      </w:r>
      <w:r w:rsidRPr="0007555E">
        <w:rPr>
          <w:rFonts w:ascii="David" w:hAnsi="David" w:cs="David"/>
          <w:sz w:val="20"/>
          <w:szCs w:val="20"/>
          <w:rtl/>
        </w:rPr>
        <w:t xml:space="preserve"> </w:t>
      </w:r>
      <w:r w:rsidRPr="0007555E">
        <w:rPr>
          <w:rFonts w:ascii="David" w:hAnsi="David" w:cs="David" w:hint="eastAsia"/>
          <w:sz w:val="20"/>
          <w:szCs w:val="20"/>
          <w:rtl/>
        </w:rPr>
        <w:t>פרטניים</w:t>
      </w:r>
      <w:r w:rsidRPr="0007555E">
        <w:rPr>
          <w:rFonts w:ascii="David" w:hAnsi="David" w:cs="David"/>
          <w:sz w:val="20"/>
          <w:szCs w:val="20"/>
          <w:rtl/>
        </w:rPr>
        <w:t xml:space="preserve"> </w:t>
      </w:r>
      <w:r w:rsidRPr="0007555E">
        <w:rPr>
          <w:rFonts w:ascii="David" w:hAnsi="David" w:cs="David" w:hint="eastAsia"/>
          <w:sz w:val="20"/>
          <w:szCs w:val="20"/>
          <w:rtl/>
        </w:rPr>
        <w:t>אינטנסיביים</w:t>
      </w:r>
      <w:r w:rsidRPr="0007555E">
        <w:rPr>
          <w:rFonts w:ascii="David" w:hAnsi="David" w:cs="David"/>
          <w:sz w:val="20"/>
          <w:szCs w:val="20"/>
          <w:rtl/>
        </w:rPr>
        <w:t xml:space="preserve">, </w:t>
      </w:r>
      <w:r w:rsidRPr="0007555E">
        <w:rPr>
          <w:rFonts w:ascii="David" w:hAnsi="David" w:cs="David" w:hint="eastAsia"/>
          <w:sz w:val="20"/>
          <w:szCs w:val="20"/>
          <w:rtl/>
        </w:rPr>
        <w:t>כדי</w:t>
      </w:r>
      <w:r w:rsidRPr="0007555E">
        <w:rPr>
          <w:rFonts w:ascii="David" w:hAnsi="David" w:cs="David"/>
          <w:sz w:val="20"/>
          <w:szCs w:val="20"/>
          <w:rtl/>
        </w:rPr>
        <w:t xml:space="preserve"> </w:t>
      </w:r>
      <w:r w:rsidRPr="0007555E">
        <w:rPr>
          <w:rFonts w:ascii="David" w:hAnsi="David" w:cs="David" w:hint="eastAsia"/>
          <w:sz w:val="20"/>
          <w:szCs w:val="20"/>
          <w:rtl/>
        </w:rPr>
        <w:t>להבין</w:t>
      </w:r>
      <w:r w:rsidRPr="0007555E">
        <w:rPr>
          <w:rFonts w:ascii="David" w:hAnsi="David" w:cs="David"/>
          <w:sz w:val="20"/>
          <w:szCs w:val="20"/>
          <w:rtl/>
        </w:rPr>
        <w:t xml:space="preserve"> </w:t>
      </w:r>
      <w:r w:rsidRPr="0007555E">
        <w:rPr>
          <w:rFonts w:ascii="David" w:hAnsi="David" w:cs="David" w:hint="eastAsia"/>
          <w:sz w:val="20"/>
          <w:szCs w:val="20"/>
          <w:rtl/>
        </w:rPr>
        <w:t>את</w:t>
      </w:r>
      <w:r w:rsidRPr="0007555E">
        <w:rPr>
          <w:rFonts w:ascii="David" w:hAnsi="David" w:cs="David"/>
          <w:sz w:val="20"/>
          <w:szCs w:val="20"/>
          <w:rtl/>
        </w:rPr>
        <w:t xml:space="preserve"> </w:t>
      </w:r>
      <w:r w:rsidRPr="0007555E">
        <w:rPr>
          <w:rFonts w:ascii="David" w:hAnsi="David" w:cs="David" w:hint="eastAsia"/>
          <w:sz w:val="20"/>
          <w:szCs w:val="20"/>
          <w:rtl/>
        </w:rPr>
        <w:t>הנטיות</w:t>
      </w:r>
      <w:r w:rsidRPr="0007555E">
        <w:rPr>
          <w:rFonts w:ascii="David" w:hAnsi="David" w:cs="David"/>
          <w:sz w:val="20"/>
          <w:szCs w:val="20"/>
          <w:rtl/>
        </w:rPr>
        <w:t xml:space="preserve"> </w:t>
      </w:r>
      <w:r w:rsidRPr="0007555E">
        <w:rPr>
          <w:rFonts w:ascii="David" w:hAnsi="David" w:cs="David" w:hint="eastAsia"/>
          <w:sz w:val="20"/>
          <w:szCs w:val="20"/>
          <w:rtl/>
        </w:rPr>
        <w:t>שלו</w:t>
      </w:r>
      <w:r w:rsidRPr="0007555E">
        <w:rPr>
          <w:rFonts w:ascii="David" w:hAnsi="David" w:cs="David"/>
          <w:sz w:val="20"/>
          <w:szCs w:val="20"/>
          <w:rtl/>
        </w:rPr>
        <w:t xml:space="preserve">, </w:t>
      </w:r>
      <w:r w:rsidRPr="0007555E">
        <w:rPr>
          <w:rFonts w:ascii="David" w:hAnsi="David" w:cs="David" w:hint="eastAsia"/>
          <w:sz w:val="20"/>
          <w:szCs w:val="20"/>
          <w:rtl/>
        </w:rPr>
        <w:t>כדי</w:t>
      </w:r>
      <w:r w:rsidRPr="0007555E">
        <w:rPr>
          <w:rFonts w:ascii="David" w:hAnsi="David" w:cs="David"/>
          <w:sz w:val="20"/>
          <w:szCs w:val="20"/>
          <w:rtl/>
        </w:rPr>
        <w:t xml:space="preserve"> </w:t>
      </w:r>
      <w:r w:rsidRPr="0007555E">
        <w:rPr>
          <w:rFonts w:ascii="David" w:hAnsi="David" w:cs="David" w:hint="eastAsia"/>
          <w:sz w:val="20"/>
          <w:szCs w:val="20"/>
          <w:rtl/>
        </w:rPr>
        <w:t>שנשב</w:t>
      </w:r>
      <w:r w:rsidRPr="0007555E">
        <w:rPr>
          <w:rFonts w:ascii="David" w:hAnsi="David" w:cs="David"/>
          <w:sz w:val="20"/>
          <w:szCs w:val="20"/>
          <w:rtl/>
        </w:rPr>
        <w:t xml:space="preserve"> </w:t>
      </w:r>
      <w:r w:rsidRPr="0007555E">
        <w:rPr>
          <w:rFonts w:ascii="David" w:hAnsi="David" w:cs="David" w:hint="eastAsia"/>
          <w:sz w:val="20"/>
          <w:szCs w:val="20"/>
          <w:rtl/>
        </w:rPr>
        <w:t>לבחון</w:t>
      </w:r>
      <w:r w:rsidRPr="0007555E">
        <w:rPr>
          <w:rFonts w:ascii="David" w:hAnsi="David" w:cs="David"/>
          <w:sz w:val="20"/>
          <w:szCs w:val="20"/>
          <w:rtl/>
        </w:rPr>
        <w:t xml:space="preserve"> </w:t>
      </w:r>
      <w:r w:rsidRPr="0007555E">
        <w:rPr>
          <w:rFonts w:ascii="David" w:hAnsi="David" w:cs="David" w:hint="eastAsia"/>
          <w:sz w:val="20"/>
          <w:szCs w:val="20"/>
          <w:rtl/>
        </w:rPr>
        <w:t>ביחד</w:t>
      </w:r>
      <w:r w:rsidRPr="0007555E">
        <w:rPr>
          <w:rFonts w:ascii="David" w:hAnsi="David" w:cs="David"/>
          <w:sz w:val="20"/>
          <w:szCs w:val="20"/>
          <w:rtl/>
        </w:rPr>
        <w:t xml:space="preserve"> </w:t>
      </w:r>
      <w:r w:rsidRPr="0007555E">
        <w:rPr>
          <w:rFonts w:ascii="David" w:hAnsi="David" w:cs="David" w:hint="eastAsia"/>
          <w:sz w:val="20"/>
          <w:szCs w:val="20"/>
          <w:rtl/>
        </w:rPr>
        <w:t>מה</w:t>
      </w:r>
      <w:r w:rsidRPr="0007555E">
        <w:rPr>
          <w:rFonts w:ascii="David" w:hAnsi="David" w:cs="David"/>
          <w:sz w:val="20"/>
          <w:szCs w:val="20"/>
          <w:rtl/>
        </w:rPr>
        <w:t xml:space="preserve"> </w:t>
      </w:r>
      <w:r w:rsidRPr="0007555E">
        <w:rPr>
          <w:rFonts w:ascii="David" w:hAnsi="David" w:cs="David" w:hint="eastAsia"/>
          <w:sz w:val="20"/>
          <w:szCs w:val="20"/>
          <w:rtl/>
        </w:rPr>
        <w:t>הוא</w:t>
      </w:r>
      <w:r w:rsidRPr="0007555E">
        <w:rPr>
          <w:rFonts w:ascii="David" w:hAnsi="David" w:cs="David"/>
          <w:sz w:val="20"/>
          <w:szCs w:val="20"/>
          <w:rtl/>
        </w:rPr>
        <w:t xml:space="preserve"> </w:t>
      </w:r>
      <w:r w:rsidRPr="0007555E">
        <w:rPr>
          <w:rFonts w:ascii="David" w:hAnsi="David" w:cs="David" w:hint="eastAsia"/>
          <w:sz w:val="20"/>
          <w:szCs w:val="20"/>
          <w:rtl/>
        </w:rPr>
        <w:t>רוצה</w:t>
      </w:r>
      <w:r w:rsidRPr="0007555E">
        <w:rPr>
          <w:rFonts w:ascii="David" w:hAnsi="David" w:cs="David"/>
          <w:sz w:val="20"/>
          <w:szCs w:val="20"/>
          <w:rtl/>
        </w:rPr>
        <w:t xml:space="preserve">, </w:t>
      </w:r>
      <w:r w:rsidRPr="0007555E">
        <w:rPr>
          <w:rFonts w:ascii="David" w:hAnsi="David" w:cs="David" w:hint="eastAsia"/>
          <w:sz w:val="20"/>
          <w:szCs w:val="20"/>
          <w:rtl/>
        </w:rPr>
        <w:t>מה</w:t>
      </w:r>
      <w:r w:rsidRPr="0007555E">
        <w:rPr>
          <w:rFonts w:ascii="David" w:hAnsi="David" w:cs="David"/>
          <w:sz w:val="20"/>
          <w:szCs w:val="20"/>
          <w:rtl/>
        </w:rPr>
        <w:t xml:space="preserve"> </w:t>
      </w:r>
      <w:r w:rsidRPr="0007555E">
        <w:rPr>
          <w:rFonts w:ascii="David" w:hAnsi="David" w:cs="David" w:hint="eastAsia"/>
          <w:sz w:val="20"/>
          <w:szCs w:val="20"/>
          <w:rtl/>
        </w:rPr>
        <w:t>הכיוון</w:t>
      </w:r>
      <w:r w:rsidRPr="0007555E">
        <w:rPr>
          <w:rFonts w:ascii="David" w:hAnsi="David" w:cs="David"/>
          <w:sz w:val="20"/>
          <w:szCs w:val="20"/>
          <w:rtl/>
        </w:rPr>
        <w:t xml:space="preserve"> </w:t>
      </w:r>
      <w:r w:rsidRPr="0007555E">
        <w:rPr>
          <w:rFonts w:ascii="David" w:hAnsi="David" w:cs="David" w:hint="eastAsia"/>
          <w:sz w:val="20"/>
          <w:szCs w:val="20"/>
          <w:rtl/>
        </w:rPr>
        <w:t>שלו</w:t>
      </w:r>
      <w:r w:rsidRPr="0007555E">
        <w:rPr>
          <w:rFonts w:ascii="David" w:hAnsi="David" w:cs="David"/>
          <w:sz w:val="20"/>
          <w:szCs w:val="20"/>
          <w:rtl/>
        </w:rPr>
        <w:t xml:space="preserve"> </w:t>
      </w:r>
      <w:r w:rsidRPr="0007555E">
        <w:rPr>
          <w:rFonts w:ascii="David" w:hAnsi="David" w:cs="David" w:hint="eastAsia"/>
          <w:sz w:val="20"/>
          <w:szCs w:val="20"/>
          <w:rtl/>
        </w:rPr>
        <w:t>והיעדים</w:t>
      </w:r>
      <w:r w:rsidRPr="0007555E">
        <w:rPr>
          <w:rFonts w:ascii="David" w:hAnsi="David" w:cs="David"/>
          <w:sz w:val="20"/>
          <w:szCs w:val="20"/>
          <w:rtl/>
        </w:rPr>
        <w:t xml:space="preserve"> </w:t>
      </w:r>
      <w:r w:rsidRPr="0007555E">
        <w:rPr>
          <w:rFonts w:ascii="David" w:hAnsi="David" w:cs="David" w:hint="eastAsia"/>
          <w:sz w:val="20"/>
          <w:szCs w:val="20"/>
          <w:rtl/>
        </w:rPr>
        <w:t>שלו</w:t>
      </w:r>
      <w:r w:rsidRPr="0007555E">
        <w:rPr>
          <w:rFonts w:ascii="David" w:hAnsi="David" w:cs="David"/>
          <w:sz w:val="20"/>
          <w:szCs w:val="20"/>
          <w:rtl/>
        </w:rPr>
        <w:t xml:space="preserve"> </w:t>
      </w:r>
      <w:r w:rsidRPr="0007555E">
        <w:rPr>
          <w:rFonts w:ascii="David" w:hAnsi="David" w:cs="David" w:hint="eastAsia"/>
          <w:sz w:val="20"/>
          <w:szCs w:val="20"/>
          <w:rtl/>
        </w:rPr>
        <w:t>וההתלבטויות</w:t>
      </w:r>
      <w:r w:rsidRPr="0007555E">
        <w:rPr>
          <w:rFonts w:ascii="David" w:hAnsi="David" w:cs="David"/>
          <w:sz w:val="20"/>
          <w:szCs w:val="20"/>
          <w:rtl/>
        </w:rPr>
        <w:t xml:space="preserve"> </w:t>
      </w:r>
      <w:r w:rsidRPr="0007555E">
        <w:rPr>
          <w:rFonts w:ascii="David" w:hAnsi="David" w:cs="David" w:hint="eastAsia"/>
          <w:sz w:val="20"/>
          <w:szCs w:val="20"/>
          <w:rtl/>
        </w:rPr>
        <w:t>שלו</w:t>
      </w:r>
      <w:r w:rsidRPr="0007555E">
        <w:rPr>
          <w:rFonts w:ascii="David" w:hAnsi="David" w:cs="David"/>
          <w:sz w:val="20"/>
          <w:szCs w:val="20"/>
          <w:rtl/>
        </w:rPr>
        <w:t xml:space="preserve"> [...] </w:t>
      </w:r>
      <w:r w:rsidRPr="0007555E">
        <w:rPr>
          <w:rFonts w:ascii="David" w:hAnsi="David" w:cs="David" w:hint="eastAsia"/>
          <w:sz w:val="20"/>
          <w:szCs w:val="20"/>
          <w:rtl/>
        </w:rPr>
        <w:t>יש</w:t>
      </w:r>
      <w:r w:rsidRPr="0007555E">
        <w:rPr>
          <w:rFonts w:ascii="David" w:hAnsi="David" w:cs="David"/>
          <w:sz w:val="20"/>
          <w:szCs w:val="20"/>
          <w:rtl/>
        </w:rPr>
        <w:t xml:space="preserve"> </w:t>
      </w:r>
      <w:r w:rsidRPr="0007555E">
        <w:rPr>
          <w:rFonts w:ascii="David" w:hAnsi="David" w:cs="David" w:hint="eastAsia"/>
          <w:sz w:val="20"/>
          <w:szCs w:val="20"/>
          <w:rtl/>
        </w:rPr>
        <w:t>פער</w:t>
      </w:r>
      <w:r w:rsidRPr="0007555E">
        <w:rPr>
          <w:rFonts w:ascii="David" w:hAnsi="David" w:cs="David"/>
          <w:sz w:val="20"/>
          <w:szCs w:val="20"/>
          <w:rtl/>
        </w:rPr>
        <w:t xml:space="preserve"> </w:t>
      </w:r>
      <w:r w:rsidRPr="0007555E">
        <w:rPr>
          <w:rFonts w:ascii="David" w:hAnsi="David" w:cs="David" w:hint="eastAsia"/>
          <w:sz w:val="20"/>
          <w:szCs w:val="20"/>
          <w:rtl/>
        </w:rPr>
        <w:t>בין</w:t>
      </w:r>
      <w:r w:rsidRPr="0007555E">
        <w:rPr>
          <w:rFonts w:ascii="David" w:hAnsi="David" w:cs="David"/>
          <w:sz w:val="20"/>
          <w:szCs w:val="20"/>
          <w:rtl/>
        </w:rPr>
        <w:t xml:space="preserve"> </w:t>
      </w:r>
      <w:r w:rsidRPr="0007555E">
        <w:rPr>
          <w:rFonts w:ascii="David" w:hAnsi="David" w:cs="David" w:hint="eastAsia"/>
          <w:sz w:val="20"/>
          <w:szCs w:val="20"/>
          <w:rtl/>
        </w:rPr>
        <w:t>הדברים</w:t>
      </w:r>
      <w:r w:rsidRPr="0007555E">
        <w:rPr>
          <w:rFonts w:ascii="David" w:hAnsi="David" w:cs="David"/>
          <w:sz w:val="20"/>
          <w:szCs w:val="20"/>
          <w:rtl/>
        </w:rPr>
        <w:t xml:space="preserve"> </w:t>
      </w:r>
      <w:r w:rsidRPr="0007555E">
        <w:rPr>
          <w:rFonts w:ascii="David" w:hAnsi="David" w:cs="David" w:hint="eastAsia"/>
          <w:sz w:val="20"/>
          <w:szCs w:val="20"/>
          <w:rtl/>
        </w:rPr>
        <w:t>שנותנים</w:t>
      </w:r>
      <w:r w:rsidRPr="0007555E">
        <w:rPr>
          <w:rFonts w:ascii="David" w:hAnsi="David" w:cs="David"/>
          <w:sz w:val="20"/>
          <w:szCs w:val="20"/>
          <w:rtl/>
        </w:rPr>
        <w:t xml:space="preserve"> </w:t>
      </w:r>
      <w:r w:rsidRPr="0007555E">
        <w:rPr>
          <w:rFonts w:ascii="David" w:hAnsi="David" w:cs="David" w:hint="eastAsia"/>
          <w:sz w:val="20"/>
          <w:szCs w:val="20"/>
          <w:rtl/>
        </w:rPr>
        <w:t>והתקופות</w:t>
      </w:r>
      <w:r w:rsidRPr="0007555E">
        <w:rPr>
          <w:rFonts w:ascii="David" w:hAnsi="David" w:cs="David"/>
          <w:sz w:val="20"/>
          <w:szCs w:val="20"/>
          <w:rtl/>
        </w:rPr>
        <w:t xml:space="preserve"> </w:t>
      </w:r>
      <w:r w:rsidRPr="0007555E">
        <w:rPr>
          <w:rFonts w:ascii="David" w:hAnsi="David" w:cs="David" w:hint="eastAsia"/>
          <w:sz w:val="20"/>
          <w:szCs w:val="20"/>
          <w:rtl/>
        </w:rPr>
        <w:t>ומי</w:t>
      </w:r>
      <w:r w:rsidRPr="0007555E">
        <w:rPr>
          <w:rFonts w:ascii="David" w:hAnsi="David" w:cs="David"/>
          <w:sz w:val="20"/>
          <w:szCs w:val="20"/>
          <w:rtl/>
        </w:rPr>
        <w:t xml:space="preserve"> </w:t>
      </w:r>
      <w:r w:rsidRPr="0007555E">
        <w:rPr>
          <w:rFonts w:ascii="David" w:hAnsi="David" w:cs="David" w:hint="eastAsia"/>
          <w:sz w:val="20"/>
          <w:szCs w:val="20"/>
          <w:rtl/>
        </w:rPr>
        <w:t>קובע</w:t>
      </w:r>
      <w:r w:rsidRPr="0007555E">
        <w:rPr>
          <w:rFonts w:ascii="David" w:hAnsi="David" w:cs="David"/>
          <w:sz w:val="20"/>
          <w:szCs w:val="20"/>
          <w:rtl/>
        </w:rPr>
        <w:t xml:space="preserve"> </w:t>
      </w:r>
      <w:r w:rsidRPr="0007555E">
        <w:rPr>
          <w:rFonts w:ascii="David" w:hAnsi="David" w:cs="David" w:hint="eastAsia"/>
          <w:sz w:val="20"/>
          <w:szCs w:val="20"/>
          <w:rtl/>
        </w:rPr>
        <w:t>אותם</w:t>
      </w:r>
      <w:r w:rsidRPr="0007555E">
        <w:rPr>
          <w:rFonts w:ascii="David" w:hAnsi="David" w:cs="David"/>
          <w:sz w:val="20"/>
          <w:szCs w:val="20"/>
          <w:rtl/>
        </w:rPr>
        <w:t xml:space="preserve"> </w:t>
      </w:r>
      <w:r w:rsidRPr="0007555E">
        <w:rPr>
          <w:rFonts w:ascii="David" w:hAnsi="David" w:cs="David" w:hint="eastAsia"/>
          <w:sz w:val="20"/>
          <w:szCs w:val="20"/>
          <w:rtl/>
        </w:rPr>
        <w:t>ואיך</w:t>
      </w:r>
      <w:r w:rsidRPr="0007555E">
        <w:rPr>
          <w:rFonts w:ascii="David" w:hAnsi="David" w:cs="David"/>
          <w:sz w:val="20"/>
          <w:szCs w:val="20"/>
          <w:rtl/>
        </w:rPr>
        <w:t xml:space="preserve"> </w:t>
      </w:r>
      <w:r w:rsidRPr="0007555E">
        <w:rPr>
          <w:rFonts w:ascii="David" w:hAnsi="David" w:cs="David" w:hint="eastAsia"/>
          <w:sz w:val="20"/>
          <w:szCs w:val="20"/>
          <w:rtl/>
        </w:rPr>
        <w:t>קובעים</w:t>
      </w:r>
      <w:r w:rsidRPr="0007555E">
        <w:rPr>
          <w:rFonts w:ascii="David" w:hAnsi="David" w:cs="David"/>
          <w:sz w:val="20"/>
          <w:szCs w:val="20"/>
          <w:rtl/>
        </w:rPr>
        <w:t xml:space="preserve"> </w:t>
      </w:r>
      <w:r w:rsidRPr="0007555E">
        <w:rPr>
          <w:rFonts w:ascii="David" w:hAnsi="David" w:cs="David" w:hint="eastAsia"/>
          <w:sz w:val="20"/>
          <w:szCs w:val="20"/>
          <w:rtl/>
        </w:rPr>
        <w:t>אותה</w:t>
      </w:r>
      <w:r w:rsidRPr="0007555E">
        <w:rPr>
          <w:rFonts w:ascii="David" w:hAnsi="David" w:cs="David"/>
          <w:sz w:val="20"/>
          <w:szCs w:val="20"/>
          <w:rtl/>
        </w:rPr>
        <w:t xml:space="preserve"> </w:t>
      </w:r>
      <w:r w:rsidRPr="0007555E">
        <w:rPr>
          <w:rFonts w:ascii="David" w:hAnsi="David" w:cs="David" w:hint="eastAsia"/>
          <w:sz w:val="20"/>
          <w:szCs w:val="20"/>
          <w:rtl/>
        </w:rPr>
        <w:t>ובאיזה</w:t>
      </w:r>
      <w:r w:rsidRPr="0007555E">
        <w:rPr>
          <w:rFonts w:ascii="David" w:hAnsi="David" w:cs="David"/>
          <w:sz w:val="20"/>
          <w:szCs w:val="20"/>
          <w:rtl/>
        </w:rPr>
        <w:t xml:space="preserve"> </w:t>
      </w:r>
      <w:r w:rsidRPr="0007555E">
        <w:rPr>
          <w:rFonts w:ascii="David" w:hAnsi="David" w:cs="David" w:hint="eastAsia"/>
          <w:sz w:val="20"/>
          <w:szCs w:val="20"/>
          <w:rtl/>
        </w:rPr>
        <w:t>אופן</w:t>
      </w:r>
      <w:r w:rsidRPr="0007555E">
        <w:rPr>
          <w:rFonts w:ascii="David" w:hAnsi="David" w:cs="David"/>
          <w:sz w:val="20"/>
          <w:szCs w:val="20"/>
          <w:rtl/>
        </w:rPr>
        <w:t xml:space="preserve"> (</w:t>
      </w:r>
      <w:proofErr w:type="spellStart"/>
      <w:r w:rsidRPr="0007555E">
        <w:rPr>
          <w:rFonts w:ascii="David" w:hAnsi="David" w:cs="David" w:hint="eastAsia"/>
          <w:sz w:val="20"/>
          <w:szCs w:val="20"/>
          <w:rtl/>
        </w:rPr>
        <w:t>פאיזה</w:t>
      </w:r>
      <w:proofErr w:type="spellEnd"/>
      <w:r w:rsidRPr="0007555E">
        <w:rPr>
          <w:rFonts w:ascii="David" w:hAnsi="David" w:cs="David"/>
          <w:sz w:val="20"/>
          <w:szCs w:val="20"/>
          <w:rtl/>
        </w:rPr>
        <w:t xml:space="preserve">, </w:t>
      </w:r>
      <w:r w:rsidRPr="0007555E">
        <w:rPr>
          <w:rFonts w:ascii="David" w:hAnsi="David" w:cs="David" w:hint="eastAsia"/>
          <w:sz w:val="20"/>
          <w:szCs w:val="20"/>
          <w:rtl/>
        </w:rPr>
        <w:t>עו</w:t>
      </w:r>
      <w:r w:rsidRPr="0007555E">
        <w:rPr>
          <w:rFonts w:ascii="David" w:hAnsi="David" w:cs="David"/>
          <w:sz w:val="20"/>
          <w:szCs w:val="20"/>
          <w:rtl/>
        </w:rPr>
        <w:t>"</w:t>
      </w:r>
      <w:r w:rsidRPr="0007555E">
        <w:rPr>
          <w:rFonts w:ascii="David" w:hAnsi="David" w:cs="David" w:hint="eastAsia"/>
          <w:sz w:val="20"/>
          <w:szCs w:val="20"/>
          <w:rtl/>
        </w:rPr>
        <w:t>ס</w:t>
      </w:r>
      <w:r w:rsidRPr="0007555E">
        <w:rPr>
          <w:rFonts w:ascii="David" w:hAnsi="David" w:cs="David"/>
          <w:sz w:val="20"/>
          <w:szCs w:val="20"/>
          <w:rtl/>
        </w:rPr>
        <w:t>).</w:t>
      </w:r>
    </w:p>
    <w:p w14:paraId="0183D338" w14:textId="77777777" w:rsidR="00477056" w:rsidRPr="00477056" w:rsidRDefault="00477056" w:rsidP="00477056">
      <w:pPr>
        <w:spacing w:after="180" w:line="280" w:lineRule="exact"/>
        <w:jc w:val="both"/>
        <w:rPr>
          <w:rFonts w:ascii="Georgia" w:hAnsi="Georgia"/>
          <w:sz w:val="18"/>
          <w:szCs w:val="20"/>
          <w:rtl/>
        </w:rPr>
      </w:pPr>
      <w:bookmarkStart w:id="9" w:name="_Toc127465348"/>
      <w:bookmarkStart w:id="10" w:name="_Toc127953449"/>
      <w:bookmarkEnd w:id="9"/>
      <w:bookmarkEnd w:id="10"/>
      <w:proofErr w:type="spellStart"/>
      <w:r w:rsidRPr="00477056">
        <w:rPr>
          <w:rFonts w:ascii="Georgia" w:hAnsi="Georgia"/>
          <w:sz w:val="18"/>
          <w:szCs w:val="20"/>
          <w:rtl/>
        </w:rPr>
        <w:t>עמראן</w:t>
      </w:r>
      <w:proofErr w:type="spellEnd"/>
      <w:r w:rsidRPr="00477056">
        <w:rPr>
          <w:rFonts w:ascii="Georgia" w:hAnsi="Georgia"/>
          <w:sz w:val="18"/>
          <w:szCs w:val="20"/>
          <w:rtl/>
        </w:rPr>
        <w:t xml:space="preserve"> טען כי שירותי הרווחה מתוכננים בהתאמה לחברה היהודית, ואינם מביאים בחשבון צרכים ייחודיים של החברה הערבית: </w:t>
      </w:r>
    </w:p>
    <w:p w14:paraId="394AAF89" w14:textId="77777777" w:rsidR="00477056" w:rsidRPr="00477056" w:rsidRDefault="00477056" w:rsidP="004F6698">
      <w:pPr>
        <w:pStyle w:val="ListParagraph"/>
        <w:spacing w:before="120" w:after="180" w:line="240" w:lineRule="exact"/>
        <w:ind w:left="567"/>
        <w:jc w:val="both"/>
        <w:rPr>
          <w:rFonts w:ascii="Georgia" w:hAnsi="Georgia" w:cs="David"/>
          <w:i/>
          <w:iCs/>
          <w:sz w:val="18"/>
          <w:szCs w:val="20"/>
          <w:rtl/>
        </w:rPr>
      </w:pPr>
      <w:r w:rsidRPr="00477056">
        <w:rPr>
          <w:rFonts w:ascii="Georgia" w:hAnsi="Georgia" w:cs="David"/>
          <w:sz w:val="18"/>
          <w:szCs w:val="20"/>
          <w:rtl/>
        </w:rPr>
        <w:t>משרד הרווחה נותן לנו שירותים שהם יותר מותאמים לחברה היהודית ולא לחברה הערבית [...] למשל בתגבורים בבתי ספר אצל היהודים זה עד השעה שש. אצל ערבים זה בחיים לא יהיה עד השעה שש [...] מאחר והתפקידים הבכירים מאוישים על ידי יהודים הם מפתחים שירותים שהם יותר אוניברסליים שאולי מתאימים לחברה הערבית ואולי לא (</w:t>
      </w:r>
      <w:proofErr w:type="spellStart"/>
      <w:r w:rsidRPr="00477056">
        <w:rPr>
          <w:rFonts w:ascii="Georgia" w:hAnsi="Georgia" w:cs="David"/>
          <w:sz w:val="18"/>
          <w:szCs w:val="20"/>
          <w:rtl/>
        </w:rPr>
        <w:t>עמראן</w:t>
      </w:r>
      <w:proofErr w:type="spellEnd"/>
      <w:r w:rsidRPr="00477056">
        <w:rPr>
          <w:rFonts w:ascii="Georgia" w:hAnsi="Georgia" w:cs="David"/>
          <w:sz w:val="18"/>
          <w:szCs w:val="20"/>
          <w:rtl/>
        </w:rPr>
        <w:t>, עו"ס).</w:t>
      </w:r>
    </w:p>
    <w:p w14:paraId="18F71387" w14:textId="3D657BD5" w:rsidR="00477056" w:rsidRPr="004F6698" w:rsidRDefault="00477056" w:rsidP="004F6698">
      <w:pPr>
        <w:keepNext/>
        <w:keepLines/>
        <w:spacing w:after="180" w:line="280" w:lineRule="exact"/>
        <w:jc w:val="both"/>
        <w:rPr>
          <w:rFonts w:ascii="Georgia" w:hAnsi="Georgia"/>
          <w:b/>
          <w:bCs/>
          <w:sz w:val="18"/>
          <w:szCs w:val="20"/>
          <w:rtl/>
        </w:rPr>
      </w:pPr>
      <w:proofErr w:type="spellStart"/>
      <w:r w:rsidRPr="004F6698">
        <w:rPr>
          <w:rFonts w:ascii="Georgia" w:hAnsi="Georgia"/>
          <w:b/>
          <w:bCs/>
          <w:sz w:val="18"/>
          <w:szCs w:val="20"/>
          <w:rtl/>
        </w:rPr>
        <w:lastRenderedPageBreak/>
        <w:t>פרקטיקות</w:t>
      </w:r>
      <w:proofErr w:type="spellEnd"/>
      <w:r w:rsidRPr="004F6698">
        <w:rPr>
          <w:rFonts w:ascii="Georgia" w:hAnsi="Georgia"/>
          <w:b/>
          <w:bCs/>
          <w:sz w:val="18"/>
          <w:szCs w:val="20"/>
          <w:rtl/>
        </w:rPr>
        <w:t xml:space="preserve"> להתמודדות עם המחסור בשירותי רווחה נגישים </w:t>
      </w:r>
    </w:p>
    <w:p w14:paraId="59B4E88D" w14:textId="77777777" w:rsidR="00477056" w:rsidRPr="0007555E" w:rsidRDefault="00477056" w:rsidP="00477056">
      <w:pPr>
        <w:spacing w:after="180" w:line="280" w:lineRule="exact"/>
        <w:jc w:val="both"/>
        <w:rPr>
          <w:rFonts w:ascii="Georgia" w:hAnsi="Georgia"/>
          <w:spacing w:val="-2"/>
          <w:sz w:val="18"/>
          <w:szCs w:val="20"/>
          <w:rtl/>
        </w:rPr>
      </w:pPr>
      <w:r w:rsidRPr="0007555E">
        <w:rPr>
          <w:rFonts w:ascii="Georgia" w:hAnsi="Georgia"/>
          <w:spacing w:val="-2"/>
          <w:sz w:val="18"/>
          <w:szCs w:val="20"/>
          <w:rtl/>
        </w:rPr>
        <w:t xml:space="preserve">כאשר מדובר בשירותים שהם חיצוניים למחלקות לשירותים חברתיים, ההתמודדות של העובדות עם המחסור בשירותי רווחה מתאימים היא מצומצמת ביותר. בכל הנוגע למה שקורה במחלקותיהם, המרואיינים התייחסו לכך שבתוכניות הפועלות לפי מודל ארצי הם משיגים גמישות ומצליחים לבצע התאמות ספציפיות בעזרת גורמי הפיקוח במשרד הרווחה. </w:t>
      </w:r>
    </w:p>
    <w:p w14:paraId="0C4A4BA5" w14:textId="77777777" w:rsidR="00477056" w:rsidRPr="00477056" w:rsidRDefault="00477056" w:rsidP="004F6698">
      <w:pPr>
        <w:pStyle w:val="ListParagraph"/>
        <w:spacing w:before="120" w:after="180" w:line="240" w:lineRule="exact"/>
        <w:ind w:left="567"/>
        <w:jc w:val="both"/>
        <w:rPr>
          <w:rFonts w:ascii="Georgia" w:hAnsi="Georgia" w:cs="David"/>
          <w:i/>
          <w:iCs/>
          <w:sz w:val="18"/>
          <w:szCs w:val="20"/>
          <w:rtl/>
        </w:rPr>
      </w:pPr>
      <w:r w:rsidRPr="00477056">
        <w:rPr>
          <w:rFonts w:ascii="Georgia" w:hAnsi="Georgia" w:cs="David"/>
          <w:sz w:val="18"/>
          <w:szCs w:val="20"/>
          <w:rtl/>
        </w:rPr>
        <w:t xml:space="preserve">אנחנו מנסים להתאים כל תוכנית שאנחנו מביאים לצורך ולתרבות פה, אם זה בבתים חמים, </w:t>
      </w:r>
      <w:r w:rsidRPr="00477056">
        <w:rPr>
          <w:rFonts w:ascii="Georgia" w:hAnsi="Georgia" w:cs="David"/>
          <w:b/>
          <w:bCs/>
          <w:sz w:val="18"/>
          <w:szCs w:val="20"/>
          <w:rtl/>
        </w:rPr>
        <w:t>נושמים</w:t>
      </w:r>
      <w:r w:rsidRPr="00477056">
        <w:rPr>
          <w:rFonts w:ascii="Georgia" w:hAnsi="Georgia" w:cs="David"/>
          <w:sz w:val="18"/>
          <w:szCs w:val="20"/>
          <w:rtl/>
        </w:rPr>
        <w:t xml:space="preserve"> או </w:t>
      </w:r>
      <w:r w:rsidRPr="00477056">
        <w:rPr>
          <w:rFonts w:ascii="Georgia" w:hAnsi="Georgia" w:cs="David"/>
          <w:b/>
          <w:bCs/>
          <w:sz w:val="18"/>
          <w:szCs w:val="20"/>
          <w:rtl/>
        </w:rPr>
        <w:t>עוצמה</w:t>
      </w:r>
      <w:r w:rsidRPr="00477056">
        <w:rPr>
          <w:rFonts w:ascii="Georgia" w:hAnsi="Georgia" w:cs="David"/>
          <w:sz w:val="18"/>
          <w:szCs w:val="20"/>
          <w:rtl/>
        </w:rPr>
        <w:t>, לפי הצרכים של החברה פה [...] למשל יש לנו תוכנית מסוימת אנחנו אומרים שזה לא מתאימה לתרבות וזה מה שאנחנו עושים עם המפקחים עם אישור משרד הרווחה [...] אנחנו כן רוצים את התוכנית אבל חשוב שנתאים אותה (</w:t>
      </w:r>
      <w:proofErr w:type="spellStart"/>
      <w:r w:rsidRPr="00477056">
        <w:rPr>
          <w:rFonts w:ascii="Georgia" w:hAnsi="Georgia" w:cs="David"/>
          <w:sz w:val="18"/>
          <w:szCs w:val="20"/>
          <w:rtl/>
        </w:rPr>
        <w:t>ענאיה</w:t>
      </w:r>
      <w:proofErr w:type="spellEnd"/>
      <w:r w:rsidRPr="00477056">
        <w:rPr>
          <w:rFonts w:ascii="Georgia" w:hAnsi="Georgia" w:cs="David"/>
          <w:sz w:val="18"/>
          <w:szCs w:val="20"/>
          <w:rtl/>
        </w:rPr>
        <w:t>, עו"ס).</w:t>
      </w:r>
    </w:p>
    <w:p w14:paraId="1944AFA4" w14:textId="77777777" w:rsidR="00477056" w:rsidRPr="0007555E" w:rsidRDefault="00477056" w:rsidP="00477056">
      <w:pPr>
        <w:spacing w:after="180" w:line="280" w:lineRule="exact"/>
        <w:jc w:val="both"/>
        <w:rPr>
          <w:rFonts w:ascii="Georgia" w:hAnsi="Georgia"/>
          <w:sz w:val="18"/>
          <w:szCs w:val="20"/>
          <w:rtl/>
        </w:rPr>
      </w:pPr>
      <w:r w:rsidRPr="0007555E">
        <w:rPr>
          <w:rFonts w:ascii="Georgia" w:hAnsi="Georgia"/>
          <w:sz w:val="18"/>
          <w:szCs w:val="20"/>
          <w:rtl/>
        </w:rPr>
        <w:t xml:space="preserve">במקרה אחר סיפרה מרואיינת כי בכוונתה להציע להוצאה לפועל לשלב סטודנטים דוברי ערבית כמגשרים וכמתווכים לאוכלוסייה, לאור ריבוי המשפחות ביישוב שיש להן חובות גדולים: </w:t>
      </w:r>
    </w:p>
    <w:p w14:paraId="7B12F0FB" w14:textId="77777777" w:rsidR="00477056" w:rsidRPr="00477056" w:rsidRDefault="00477056" w:rsidP="004F6698">
      <w:pPr>
        <w:pStyle w:val="ListParagraph"/>
        <w:spacing w:before="120" w:after="180" w:line="240" w:lineRule="exact"/>
        <w:ind w:left="567"/>
        <w:jc w:val="both"/>
        <w:rPr>
          <w:rFonts w:ascii="Georgia" w:hAnsi="Georgia" w:cs="David"/>
          <w:i/>
          <w:iCs/>
          <w:sz w:val="18"/>
          <w:szCs w:val="20"/>
          <w:rtl/>
        </w:rPr>
      </w:pPr>
      <w:r w:rsidRPr="00477056">
        <w:rPr>
          <w:rFonts w:ascii="Georgia" w:hAnsi="Georgia" w:cs="David"/>
          <w:sz w:val="18"/>
          <w:szCs w:val="20"/>
          <w:rtl/>
        </w:rPr>
        <w:t xml:space="preserve">ל-50% ביישוב יש תיקים בהוצאה לפועל. זה האחוז הכי גבוה בישראל [...] אין עובד ערבי בהוצאה לפועל הקרובה למרות שכל האוכלוסייה ערבים [...] אחת מההצעות שאני רוצה להגיש להוצאה לפועל, בואו נעשה פיילוט, שיהיו סטודנטים ערבים תמורת מלגה מהמדינה. יהיה מישהו ערבי או שניים שיהיו נוכחים כדי שהתקשורת תהיה יותר קלה, ואולי נעשה פיילוט שהם ייזמו ויפנו לאנשים [...] בוא להסדיר את החוב, שנעשה לכם פגישה [...] אולי נצליח לעשות את הצעד הפשוט הזה ונחולל שינוי (מירה, עו"ס). </w:t>
      </w:r>
    </w:p>
    <w:p w14:paraId="20B3B530"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מרואיינות ציינו גם את הצורך בהכשרת עובדים סוציאליים לעבודה בחברה הערבית במסגרת ההכשרה האקדמית והמקצועית. </w:t>
      </w:r>
    </w:p>
    <w:p w14:paraId="52CAA89A" w14:textId="77777777" w:rsidR="00493C94" w:rsidRPr="004F6698" w:rsidRDefault="00493C94" w:rsidP="00493C94">
      <w:pPr>
        <w:spacing w:line="280" w:lineRule="exact"/>
        <w:jc w:val="both"/>
        <w:rPr>
          <w:rFonts w:ascii="Georgia" w:hAnsi="Georgia"/>
          <w:sz w:val="18"/>
          <w:szCs w:val="20"/>
          <w:rtl/>
        </w:rPr>
      </w:pPr>
    </w:p>
    <w:p w14:paraId="4AA84BEB" w14:textId="5BA49E6D" w:rsidR="00477056" w:rsidRPr="00477056" w:rsidRDefault="00477056" w:rsidP="00477056">
      <w:pPr>
        <w:keepNext/>
        <w:keepLines/>
        <w:spacing w:line="280" w:lineRule="exact"/>
        <w:jc w:val="both"/>
        <w:outlineLvl w:val="3"/>
        <w:rPr>
          <w:b/>
          <w:bCs/>
          <w:color w:val="BA2A16"/>
          <w:sz w:val="20"/>
          <w:szCs w:val="22"/>
          <w:rtl/>
        </w:rPr>
      </w:pPr>
      <w:r w:rsidRPr="00477056">
        <w:rPr>
          <w:b/>
          <w:bCs/>
          <w:color w:val="BA2A16"/>
          <w:sz w:val="20"/>
          <w:szCs w:val="22"/>
          <w:rtl/>
        </w:rPr>
        <w:t xml:space="preserve">טיפול באנשים חסרי מעמד </w:t>
      </w:r>
    </w:p>
    <w:p w14:paraId="3575650B" w14:textId="77777777" w:rsidR="00477056" w:rsidRPr="00477056" w:rsidRDefault="00477056" w:rsidP="00477056">
      <w:pPr>
        <w:spacing w:after="180" w:line="280" w:lineRule="exact"/>
        <w:jc w:val="both"/>
        <w:rPr>
          <w:rFonts w:ascii="Georgia" w:hAnsi="Georgia"/>
          <w:b/>
          <w:bCs/>
          <w:sz w:val="18"/>
          <w:szCs w:val="20"/>
          <w:rtl/>
        </w:rPr>
      </w:pPr>
      <w:r w:rsidRPr="00477056">
        <w:rPr>
          <w:rFonts w:ascii="Georgia" w:hAnsi="Georgia"/>
          <w:sz w:val="18"/>
          <w:szCs w:val="20"/>
          <w:rtl/>
        </w:rPr>
        <w:t>סוג אחר של קשיים שהעובדות הסוציאליות מתמודדות איתם קשור בעבודה עם משפחות שבהן אחד מבני הזוג אינו אזרח ישראלי. הדבר בעייתי במיוחד כשמדובר בבני זוג שאינם יהודים שמוצאם ברשות הפלסטינית, והם משוללי זכויות סוציאליות בסיסיות בישראל, דוגמת ביטוח בריאות וקצבאות. כאשר מדובר באישה חסרת מעמד, הריחוק ממשפחת המוצא ומהקהילה האורגנית שלה הופך אותה פעמים רבות לחסרת כל תמיכה, ולפגיעה ביותר להתעמרות מצד משפחת הבעל. כאשר האישה היא בעלת אזרחות ישראלית (או תושבת מזרח ירושלים בעלת מעמד תושב), נישואין לבן זוג מהגדה המערבית מובילים פעמים רבות לשלילת זכויותיה האזרחיות, בשל ההנחה שלאחר הנישואין נשים עוברות להתגורר ליד משפחת הבעל (</w:t>
      </w:r>
      <w:proofErr w:type="spellStart"/>
      <w:r w:rsidRPr="00477056">
        <w:rPr>
          <w:rFonts w:ascii="Georgia" w:hAnsi="Georgia"/>
          <w:sz w:val="18"/>
          <w:szCs w:val="20"/>
          <w:rtl/>
        </w:rPr>
        <w:t>דעייף</w:t>
      </w:r>
      <w:proofErr w:type="spellEnd"/>
      <w:r w:rsidRPr="00477056">
        <w:rPr>
          <w:rFonts w:ascii="Georgia" w:hAnsi="Georgia"/>
          <w:sz w:val="18"/>
          <w:szCs w:val="20"/>
          <w:rtl/>
        </w:rPr>
        <w:t xml:space="preserve">, 2007). תופעת הנישואין לבני זוג חסרי מעמד קיימת במיוחד ביישובים הקרובים פיזית לשטחי הרשות הפלסטינית, כמו הנגב ואזור המשולש. </w:t>
      </w:r>
    </w:p>
    <w:p w14:paraId="73B21555"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lastRenderedPageBreak/>
        <w:t>כל זמן שהיחסים בין בני הזוג הם תקינים, וכל בני המשפחה בריאים ואינם מתמודדים עם בעיות בריאות מיוחדות, המשפחות מצליחות להתקיים. אך כל קושי בבריאות או בתעסוקה, או בעיה ביחסים, מובילים לאיום בגירוש ובפרֵדה מהילדים. כאשר האישה בעלת אזרחות ישראלית והגבר חסר מעמד צצות בעיות מכיוון שבני הזוג אינם יכולים להיות רשומים כנשואים. כאשר יש להם ילדים, רשויות המדינה מגדירות את האישה כרווקה בעלת ילדים, מה שאינו מקובל בתרבותה.</w:t>
      </w:r>
    </w:p>
    <w:p w14:paraId="11E962E1" w14:textId="77777777" w:rsidR="00477056" w:rsidRPr="00477056" w:rsidRDefault="00477056" w:rsidP="00493C94">
      <w:pPr>
        <w:spacing w:before="120" w:after="180"/>
        <w:ind w:left="567"/>
        <w:jc w:val="both"/>
        <w:rPr>
          <w:rFonts w:ascii="Georgia" w:hAnsi="Georgia"/>
          <w:i/>
          <w:iCs/>
          <w:sz w:val="18"/>
          <w:szCs w:val="20"/>
        </w:rPr>
      </w:pPr>
      <w:r w:rsidRPr="00477056">
        <w:rPr>
          <w:rFonts w:ascii="Georgia" w:hAnsi="Georgia"/>
          <w:sz w:val="18"/>
          <w:szCs w:val="20"/>
          <w:rtl/>
        </w:rPr>
        <w:t>במידה ויש לה תעודת זהות [ישראלית] אז מנסים מול ביטוח לאומי להוציא לה כאילו שהיא אישה ידועה בציבור וזה לא פייר בשבילה שהיא ידועה בציבור, כי מבחינה תרבותית יש לה ילדים מחוץ לנישואים. או שיש לה גבר אבל זה לא חתונה פורמלית. אז מנסים כל מיני דרכים ולפעמים לא מצליחים, במיוחד כאשר האישה אין לה תעודת זהות (</w:t>
      </w:r>
      <w:proofErr w:type="spellStart"/>
      <w:r w:rsidRPr="00477056">
        <w:rPr>
          <w:rFonts w:ascii="Georgia" w:hAnsi="Georgia"/>
          <w:sz w:val="18"/>
          <w:szCs w:val="20"/>
          <w:rtl/>
        </w:rPr>
        <w:t>סלווא</w:t>
      </w:r>
      <w:proofErr w:type="spellEnd"/>
      <w:r w:rsidRPr="00477056">
        <w:rPr>
          <w:rFonts w:ascii="Georgia" w:hAnsi="Georgia"/>
          <w:sz w:val="18"/>
          <w:szCs w:val="20"/>
          <w:rtl/>
        </w:rPr>
        <w:t>, עו"ס).</w:t>
      </w:r>
    </w:p>
    <w:p w14:paraId="41831519" w14:textId="77777777" w:rsidR="00477056" w:rsidRPr="00493C94" w:rsidRDefault="00477056" w:rsidP="00477056">
      <w:pPr>
        <w:spacing w:after="180" w:line="280" w:lineRule="exact"/>
        <w:jc w:val="both"/>
        <w:rPr>
          <w:rFonts w:ascii="Georgia" w:hAnsi="Georgia"/>
          <w:spacing w:val="-2"/>
          <w:sz w:val="18"/>
          <w:szCs w:val="20"/>
          <w:rtl/>
        </w:rPr>
      </w:pPr>
      <w:r w:rsidRPr="00493C94">
        <w:rPr>
          <w:rFonts w:ascii="Georgia" w:hAnsi="Georgia"/>
          <w:spacing w:val="-2"/>
          <w:sz w:val="18"/>
          <w:szCs w:val="20"/>
          <w:rtl/>
        </w:rPr>
        <w:t>המצב חריף במיוחד כאשר מדובר בזוגות שבהם הגבר הוא אזרח ישראלי והאישה חסרת מעמד, שכן במקרה של קשיים ביחסים בין בני הזוג הקהילה תומכת בגבר בן הקהילה, ואילו המדינה באמצעות החוק מהווה איום ממשי עבור האישה, שכן הגירושין עלולים להביא מיידית לגירושה מישראל ולגרום לה, במקרים מסוימים, לאבד את ילדיה (</w:t>
      </w:r>
      <w:proofErr w:type="spellStart"/>
      <w:r w:rsidRPr="00493C94">
        <w:rPr>
          <w:rFonts w:ascii="Georgia" w:hAnsi="Georgia"/>
          <w:spacing w:val="-2"/>
          <w:sz w:val="18"/>
          <w:szCs w:val="20"/>
          <w:rtl/>
        </w:rPr>
        <w:t>דעייף</w:t>
      </w:r>
      <w:proofErr w:type="spellEnd"/>
      <w:r w:rsidRPr="00493C94">
        <w:rPr>
          <w:rFonts w:ascii="Georgia" w:hAnsi="Georgia"/>
          <w:spacing w:val="-2"/>
          <w:sz w:val="18"/>
          <w:szCs w:val="20"/>
          <w:rtl/>
        </w:rPr>
        <w:t xml:space="preserve">, 2007). </w:t>
      </w:r>
    </w:p>
    <w:p w14:paraId="3870B644" w14:textId="77777777" w:rsidR="00493C94" w:rsidRPr="004F6698" w:rsidRDefault="00493C94" w:rsidP="00493C94">
      <w:pPr>
        <w:spacing w:line="280" w:lineRule="exact"/>
        <w:jc w:val="both"/>
        <w:rPr>
          <w:rFonts w:ascii="Georgia" w:hAnsi="Georgia"/>
          <w:sz w:val="18"/>
          <w:szCs w:val="20"/>
          <w:rtl/>
        </w:rPr>
      </w:pPr>
    </w:p>
    <w:p w14:paraId="49E5F0E1" w14:textId="05A41BAE" w:rsidR="00477056" w:rsidRPr="00493C94" w:rsidRDefault="00477056" w:rsidP="00493C94">
      <w:pPr>
        <w:keepNext/>
        <w:keepLines/>
        <w:spacing w:after="180" w:line="280" w:lineRule="exact"/>
        <w:jc w:val="both"/>
        <w:rPr>
          <w:rFonts w:ascii="Georgia" w:hAnsi="Georgia"/>
          <w:b/>
          <w:bCs/>
          <w:sz w:val="18"/>
          <w:szCs w:val="20"/>
          <w:rtl/>
        </w:rPr>
      </w:pPr>
      <w:proofErr w:type="spellStart"/>
      <w:r w:rsidRPr="00493C94">
        <w:rPr>
          <w:rFonts w:ascii="Georgia" w:hAnsi="Georgia"/>
          <w:b/>
          <w:bCs/>
          <w:sz w:val="18"/>
          <w:szCs w:val="20"/>
          <w:rtl/>
        </w:rPr>
        <w:t>פרקטיקות</w:t>
      </w:r>
      <w:proofErr w:type="spellEnd"/>
      <w:r w:rsidRPr="00493C94">
        <w:rPr>
          <w:rFonts w:ascii="Georgia" w:hAnsi="Georgia"/>
          <w:b/>
          <w:bCs/>
          <w:sz w:val="18"/>
          <w:szCs w:val="20"/>
          <w:rtl/>
        </w:rPr>
        <w:t xml:space="preserve"> לטיפול באנשים חסרי מעמד </w:t>
      </w:r>
    </w:p>
    <w:p w14:paraId="1556B8AA"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בהיעדר זכויות המעוגנות בחוק, המרואיינות מספרות כי הן משתדלות להכיר היטב את התקנות והחוקים הרלבנטיים כדי למצוא בהם פרצות שיאפשרו לסייע לפונים, וכי הן משתמשות ביצירתיות וברצון טוב כדי לאתר אפשרויות סיוע. כך לדוגמה מתוארת יוזמה מקומית ביישוב בדואי לצמצום ההוצאה המשפחתית על ירקות באמצעות גידול עצמי: </w:t>
      </w:r>
    </w:p>
    <w:p w14:paraId="3AF70BD4" w14:textId="6553B015" w:rsidR="00477056" w:rsidRPr="00477056" w:rsidRDefault="00477056" w:rsidP="00A37A24">
      <w:pPr>
        <w:spacing w:before="120" w:after="180"/>
        <w:ind w:left="567"/>
        <w:jc w:val="both"/>
        <w:rPr>
          <w:rFonts w:ascii="Georgia" w:hAnsi="Georgia"/>
          <w:sz w:val="18"/>
          <w:szCs w:val="20"/>
          <w:rtl/>
        </w:rPr>
      </w:pPr>
      <w:r w:rsidRPr="00477056">
        <w:rPr>
          <w:rFonts w:ascii="Georgia" w:hAnsi="Georgia"/>
          <w:sz w:val="18"/>
          <w:szCs w:val="20"/>
          <w:rtl/>
        </w:rPr>
        <w:t>יש לנו פרויקט חממה שבו אנחנו מאפשרים ומסייעים למשפחה בהוצאות של ירקות עונתיים. הם מגדלים את זה [...] לאט-לאט זה מתפתח יותר אצל משפחות לא בדו</w:t>
      </w:r>
      <w:r w:rsidR="00CA3ACA">
        <w:rPr>
          <w:rFonts w:ascii="Georgia" w:hAnsi="Georgia" w:hint="cs"/>
          <w:sz w:val="18"/>
          <w:szCs w:val="20"/>
          <w:rtl/>
        </w:rPr>
        <w:t>אי</w:t>
      </w:r>
      <w:r w:rsidRPr="00477056">
        <w:rPr>
          <w:rFonts w:ascii="Georgia" w:hAnsi="Georgia"/>
          <w:sz w:val="18"/>
          <w:szCs w:val="20"/>
          <w:rtl/>
        </w:rPr>
        <w:t>ות ויותר אצל משפחות פלסטיניות חסרת מעמד, שלא יכולות לפנות לביטוח לאומי [...] החברה לא יכולה להרשות לעצמה שמשפחות יחיו בחרפת רעב (כרים, עו"ס).</w:t>
      </w:r>
    </w:p>
    <w:p w14:paraId="328D9517"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התיאורים של אתגרי הטיפול באנשים חסרי מעמד ממחישים את המדיניות המפלה במלוא עוזה, באשר נישואין לאזרח ערבי אינם מקנים זכויות אזרחיות כמו נישואין לאזרח יהודי. מול האתגרים האלה ניצבות העובדות הסוציאליות ללא כלים פורמליים, ומתמודדות באמצעות יוזמות אישיות, יצירתיות ועמדה פרו-אקטיבית. סוגיית חסרי המעמד מדגישה מחד גיסא את הצורך ברגישות תרבותית כדי להבין לעומק את מצבם של הפונים, ומאידך גיסא היא חושפת את מגבלותיה של הרגישות התרבותית, כשזו אינה כוללת מודעות פוליטית-חברתית-כלכלית לצורך במענים ברמת המדיניות.</w:t>
      </w:r>
    </w:p>
    <w:p w14:paraId="3BC6C79E" w14:textId="555EA5EC" w:rsidR="00477056" w:rsidRPr="00477056" w:rsidRDefault="00477056" w:rsidP="00477056">
      <w:pPr>
        <w:keepNext/>
        <w:keepLines/>
        <w:spacing w:line="280" w:lineRule="exact"/>
        <w:jc w:val="both"/>
        <w:outlineLvl w:val="3"/>
        <w:rPr>
          <w:b/>
          <w:bCs/>
          <w:color w:val="BA2A16"/>
          <w:sz w:val="20"/>
          <w:szCs w:val="22"/>
          <w:rtl/>
        </w:rPr>
      </w:pPr>
      <w:r w:rsidRPr="00477056">
        <w:rPr>
          <w:b/>
          <w:bCs/>
          <w:color w:val="BA2A16"/>
          <w:sz w:val="20"/>
          <w:szCs w:val="22"/>
          <w:rtl/>
        </w:rPr>
        <w:lastRenderedPageBreak/>
        <w:t>הצטלבות מיקומי שוליים</w:t>
      </w:r>
      <w:r w:rsidRPr="00477056">
        <w:rPr>
          <w:b/>
          <w:bCs/>
          <w:color w:val="BA2A16"/>
          <w:sz w:val="20"/>
          <w:szCs w:val="22"/>
        </w:rPr>
        <w:t>:</w:t>
      </w:r>
      <w:r w:rsidRPr="00477056">
        <w:rPr>
          <w:b/>
          <w:bCs/>
          <w:color w:val="BA2A16"/>
          <w:sz w:val="20"/>
          <w:szCs w:val="22"/>
          <w:rtl/>
        </w:rPr>
        <w:t xml:space="preserve"> תחושת זרות של העובדת הסוציאלית </w:t>
      </w:r>
      <w:bookmarkStart w:id="11" w:name="_Toc127465314"/>
      <w:bookmarkStart w:id="12" w:name="_Toc127953415"/>
      <w:bookmarkEnd w:id="11"/>
      <w:bookmarkEnd w:id="12"/>
    </w:p>
    <w:p w14:paraId="53E4C127"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החברה הערבית אינה חברה הומוגנית, ומדברי המרואיינות עולים הבדלים בין קהילות ערביות בדואיות בנגב לבין קהילות ערביות בצפון, בין קהילות ערביות דרוזיות לבין קהילות מוסלמיות ונוצריות, ובין קהילות החיות בערים מעורבות לבין קהילות קטנות ופריפריאליות. ממצאינו מצביעים על כך שגם עובדות סוציאליות ערביות חשות זרות במפגש עם קהילות ערביות שונות מזו שהן משתייכות אליהן. המרואיינות קשרו את תחושת הזרות לכך שהקהילה שלהן ליברלית יותר מזו של הפונים אליהן, המשתייכים לקהילה פטריארכלית ומסורתית. נראה שהמפגש עם משפחות וקהילות פטריארכליות מעורר בעובדות אי-שקט רב וקושי גדול. הן מתקשות להבין את האיסורים המוטלים על תנועתן של נשים או על הימצאותן במרחב הדיגיטלי. מספרת עובדת סוציאלית ערבייה מהצפון העובדת בקהילה בדואית בנגב: </w:t>
      </w:r>
    </w:p>
    <w:p w14:paraId="09D2DD52" w14:textId="77777777" w:rsidR="00477056" w:rsidRPr="00477056" w:rsidRDefault="00477056" w:rsidP="00493C94">
      <w:pPr>
        <w:spacing w:before="120" w:after="180"/>
        <w:ind w:left="567"/>
        <w:jc w:val="both"/>
        <w:rPr>
          <w:rFonts w:ascii="Georgia" w:hAnsi="Georgia"/>
          <w:sz w:val="18"/>
          <w:szCs w:val="20"/>
          <w:rtl/>
        </w:rPr>
      </w:pPr>
      <w:r w:rsidRPr="00477056">
        <w:rPr>
          <w:rFonts w:ascii="Georgia" w:hAnsi="Georgia"/>
          <w:sz w:val="18"/>
          <w:szCs w:val="20"/>
          <w:rtl/>
        </w:rPr>
        <w:t>הדבר הכי שמגביל אותי ומונע אותי ביותר הוא שדברים שאתה חי איתם ומרגיש שהם טבעיים ורגילים, הצד השני מסביר לך שלא, שזה לא דבר רגיל וטבעי. לדוגמה [...] שהיה אסור לאישה לצאת לעבוד בחוץ. הייתי אומרת מה הבעיה? הולכת באוטובוס וחוזרת באוטובוס. תפיסת החיים השונה מתסכלת אותי (</w:t>
      </w:r>
      <w:proofErr w:type="spellStart"/>
      <w:r w:rsidRPr="00477056">
        <w:rPr>
          <w:rFonts w:ascii="Georgia" w:hAnsi="Georgia"/>
          <w:sz w:val="18"/>
          <w:szCs w:val="20"/>
          <w:rtl/>
        </w:rPr>
        <w:t>אמל</w:t>
      </w:r>
      <w:proofErr w:type="spellEnd"/>
      <w:r w:rsidRPr="00477056">
        <w:rPr>
          <w:rFonts w:ascii="Georgia" w:hAnsi="Georgia"/>
          <w:sz w:val="18"/>
          <w:szCs w:val="20"/>
          <w:rtl/>
        </w:rPr>
        <w:t>, עו"ס).</w:t>
      </w:r>
    </w:p>
    <w:p w14:paraId="798158B2" w14:textId="77777777" w:rsidR="00477056" w:rsidRPr="00477056" w:rsidRDefault="00477056" w:rsidP="00477056">
      <w:pPr>
        <w:spacing w:after="180" w:line="280" w:lineRule="exact"/>
        <w:jc w:val="both"/>
        <w:rPr>
          <w:rFonts w:ascii="Georgia" w:hAnsi="Georgia"/>
          <w:sz w:val="18"/>
          <w:szCs w:val="20"/>
        </w:rPr>
      </w:pPr>
      <w:r w:rsidRPr="00477056">
        <w:rPr>
          <w:rFonts w:ascii="Georgia" w:hAnsi="Georgia"/>
          <w:sz w:val="18"/>
          <w:szCs w:val="20"/>
          <w:rtl/>
        </w:rPr>
        <w:t xml:space="preserve">במקרה אחר מתארת מרואיינת את הקושי לעבוד עם קהילה דרוזית: </w:t>
      </w:r>
    </w:p>
    <w:p w14:paraId="7234908F" w14:textId="77777777" w:rsidR="00477056" w:rsidRPr="00477056" w:rsidRDefault="00477056" w:rsidP="00493C94">
      <w:pPr>
        <w:spacing w:before="120" w:after="180"/>
        <w:ind w:left="567"/>
        <w:jc w:val="both"/>
        <w:rPr>
          <w:rFonts w:ascii="Georgia" w:hAnsi="Georgia"/>
          <w:sz w:val="18"/>
          <w:szCs w:val="20"/>
          <w:rtl/>
        </w:rPr>
      </w:pPr>
      <w:r w:rsidRPr="00477056">
        <w:rPr>
          <w:rFonts w:ascii="Georgia" w:hAnsi="Georgia"/>
          <w:sz w:val="18"/>
          <w:szCs w:val="20"/>
          <w:rtl/>
        </w:rPr>
        <w:t xml:space="preserve">אצל הדרוזים יש מנהגים שונים מהמוסלמים והנוצרים. אישה דרוזית דתייה לא יכולה לנהוג, או להיות באוטו עם גבר אלא אם בנה מלווה אותה או קרוב משפחה אחר מדרגה ראשונה [...] הן לא יכולות לעבוד במקום בו יש גברים, אפילו היא לא יכולה אפילו לעשות הקלטת </w:t>
      </w:r>
      <w:proofErr w:type="spellStart"/>
      <w:r w:rsidRPr="00477056">
        <w:rPr>
          <w:rFonts w:ascii="Georgia" w:hAnsi="Georgia"/>
          <w:sz w:val="18"/>
          <w:szCs w:val="20"/>
          <w:rtl/>
        </w:rPr>
        <w:t>ואטסאפ</w:t>
      </w:r>
      <w:proofErr w:type="spellEnd"/>
      <w:r w:rsidRPr="00477056">
        <w:rPr>
          <w:rFonts w:ascii="Georgia" w:hAnsi="Georgia"/>
          <w:sz w:val="18"/>
          <w:szCs w:val="20"/>
          <w:rtl/>
        </w:rPr>
        <w:t xml:space="preserve"> כדי שקולה לא יישמע (</w:t>
      </w:r>
      <w:proofErr w:type="spellStart"/>
      <w:r w:rsidRPr="00477056">
        <w:rPr>
          <w:rFonts w:ascii="Georgia" w:hAnsi="Georgia"/>
          <w:sz w:val="18"/>
          <w:szCs w:val="20"/>
          <w:rtl/>
        </w:rPr>
        <w:t>ראניה</w:t>
      </w:r>
      <w:proofErr w:type="spellEnd"/>
      <w:r w:rsidRPr="00477056">
        <w:rPr>
          <w:rFonts w:ascii="Georgia" w:hAnsi="Georgia"/>
          <w:sz w:val="18"/>
          <w:szCs w:val="20"/>
          <w:rtl/>
        </w:rPr>
        <w:t>, עו"ס).</w:t>
      </w:r>
    </w:p>
    <w:p w14:paraId="659AAD5E" w14:textId="77777777" w:rsidR="00477056" w:rsidRPr="00477056" w:rsidRDefault="00477056" w:rsidP="00477056">
      <w:pPr>
        <w:spacing w:after="180" w:line="280" w:lineRule="exact"/>
        <w:jc w:val="both"/>
        <w:rPr>
          <w:rFonts w:ascii="Georgia" w:hAnsi="Georgia"/>
          <w:sz w:val="18"/>
          <w:szCs w:val="20"/>
          <w:rtl/>
        </w:rPr>
      </w:pPr>
      <w:bookmarkStart w:id="13" w:name="_Toc127952310"/>
      <w:bookmarkStart w:id="14" w:name="_Toc127952355"/>
      <w:bookmarkStart w:id="15" w:name="_Toc127952379"/>
      <w:bookmarkStart w:id="16" w:name="_Toc127952403"/>
      <w:bookmarkStart w:id="17" w:name="_Toc127952426"/>
      <w:bookmarkStart w:id="18" w:name="_Toc127952448"/>
      <w:bookmarkStart w:id="19" w:name="_Toc127952500"/>
      <w:bookmarkStart w:id="20" w:name="_Toc127952520"/>
      <w:bookmarkStart w:id="21" w:name="_Toc127952558"/>
      <w:bookmarkStart w:id="22" w:name="_Toc127952604"/>
      <w:bookmarkStart w:id="23" w:name="_Toc127952870"/>
      <w:bookmarkStart w:id="24" w:name="_Toc127953403"/>
      <w:bookmarkStart w:id="25" w:name="_Toc127953457"/>
      <w:bookmarkStart w:id="26" w:name="_Toc127952311"/>
      <w:bookmarkStart w:id="27" w:name="_Toc127952356"/>
      <w:bookmarkStart w:id="28" w:name="_Toc127952380"/>
      <w:bookmarkStart w:id="29" w:name="_Toc127952404"/>
      <w:bookmarkStart w:id="30" w:name="_Toc127952427"/>
      <w:bookmarkStart w:id="31" w:name="_Toc127952449"/>
      <w:bookmarkStart w:id="32" w:name="_Toc127952501"/>
      <w:bookmarkStart w:id="33" w:name="_Toc127952521"/>
      <w:bookmarkStart w:id="34" w:name="_Toc127952559"/>
      <w:bookmarkStart w:id="35" w:name="_Toc127952605"/>
      <w:bookmarkStart w:id="36" w:name="_Toc127952871"/>
      <w:bookmarkStart w:id="37" w:name="_Toc127953404"/>
      <w:bookmarkStart w:id="38" w:name="_Toc127953458"/>
      <w:bookmarkStart w:id="39" w:name="_Toc127465308"/>
      <w:bookmarkStart w:id="40" w:name="_Toc127953409"/>
      <w:bookmarkStart w:id="41" w:name="_Toc127953461"/>
      <w:bookmarkStart w:id="42" w:name="_Toc127465309"/>
      <w:bookmarkStart w:id="43" w:name="_Toc127953410"/>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477056">
        <w:rPr>
          <w:rFonts w:ascii="Georgia" w:hAnsi="Georgia"/>
          <w:sz w:val="18"/>
          <w:szCs w:val="20"/>
          <w:rtl/>
        </w:rPr>
        <w:t>מרבית המרואיינות מייחסות את תחושת הזרות להבדלי התרבות (לדוגמה, בינן לבין הבדואים) או הדת (בינן לבין הדרוזים). אולם ניתן לראות כי תחושה זו היא תוצר של הצטלבות מיקומי שוליים (</w:t>
      </w:r>
      <w:r w:rsidRPr="00477056">
        <w:rPr>
          <w:rFonts w:ascii="Georgia" w:hAnsi="Georgia"/>
          <w:sz w:val="18"/>
          <w:szCs w:val="20"/>
        </w:rPr>
        <w:t>Crenshaw, 2017</w:t>
      </w:r>
      <w:r w:rsidRPr="00477056">
        <w:rPr>
          <w:rFonts w:ascii="Georgia" w:hAnsi="Georgia"/>
          <w:sz w:val="18"/>
          <w:szCs w:val="20"/>
          <w:rtl/>
        </w:rPr>
        <w:t xml:space="preserve">), והיא קשורה במידה רבה לא רק להבדלי דת ותרבות אלא להבדלי מעמד. הפונים שהעובדות הסוציאליות פוגשות משתייכים לקבוצה מעמדית מוחלשת ביותר בתוך קהילות דתיות ותרבותיות מוחלשות. הקבוצה המעמדית שהפונים משתייכים אליה היא פטריארכלית ושמרנית יותר מהקהילה הערבית בכללה, שיש בה מגוון של תפיסות בדבר יחסי מגדר וצורות חיים. </w:t>
      </w:r>
    </w:p>
    <w:p w14:paraId="79F9CCE1" w14:textId="2CA3962C"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מרואיינת אחרת מתרחקת מההסבר הדתי והתרבותי. לדעתה, עצם העובדה שהיא מתגוררת ביישוב אחר הופכת אותה לזרה בעיני הפונים. היא מתארת את הרגישות של משתמשי השירותים כלפי האופן שבו היא מסתכלת עליהם, ואת חששם כי הזרות שלה (שמקורה במקום המגורים שלה, ולא בשייכות דתית או אתנית) עושה אותה מתנשאת ושיפוטית כלפיהם. </w:t>
      </w:r>
    </w:p>
    <w:p w14:paraId="7F35DCDB" w14:textId="77777777" w:rsidR="00477056" w:rsidRPr="00477056" w:rsidRDefault="00477056" w:rsidP="00493C94">
      <w:pPr>
        <w:spacing w:before="120" w:after="180"/>
        <w:ind w:left="567"/>
        <w:jc w:val="both"/>
        <w:rPr>
          <w:rFonts w:ascii="Georgia" w:hAnsi="Georgia"/>
          <w:sz w:val="18"/>
          <w:szCs w:val="20"/>
          <w:rtl/>
        </w:rPr>
      </w:pPr>
      <w:r w:rsidRPr="00477056">
        <w:rPr>
          <w:rFonts w:ascii="Georgia" w:hAnsi="Georgia"/>
          <w:sz w:val="18"/>
          <w:szCs w:val="20"/>
          <w:rtl/>
        </w:rPr>
        <w:t xml:space="preserve">אני זהירה יותר מעובדת סוציאלית בת הכפר [...] כי אפילו אם בת הכפר </w:t>
      </w:r>
      <w:proofErr w:type="spellStart"/>
      <w:r w:rsidRPr="00477056">
        <w:rPr>
          <w:rFonts w:ascii="Georgia" w:hAnsi="Georgia"/>
          <w:sz w:val="18"/>
          <w:szCs w:val="20"/>
          <w:rtl/>
        </w:rPr>
        <w:t>היתה</w:t>
      </w:r>
      <w:proofErr w:type="spellEnd"/>
      <w:r w:rsidRPr="00477056">
        <w:rPr>
          <w:rFonts w:ascii="Georgia" w:hAnsi="Georgia"/>
          <w:sz w:val="18"/>
          <w:szCs w:val="20"/>
          <w:rtl/>
        </w:rPr>
        <w:t xml:space="preserve"> לה טעות מסוימת זה לא [נתפס] כמו הטעות של הבת מחוץ לכפר [...] מי שטועה מבפנים </w:t>
      </w:r>
      <w:r w:rsidRPr="00477056">
        <w:rPr>
          <w:rFonts w:ascii="Georgia" w:hAnsi="Georgia"/>
          <w:sz w:val="18"/>
          <w:szCs w:val="20"/>
          <w:rtl/>
        </w:rPr>
        <w:lastRenderedPageBreak/>
        <w:t>תופסים את זה כטעות מתוך אי תשומת לב, אבל מישהו מבחוץ נתפס כאילו "מה, את באה לשנות את התרבות?" (</w:t>
      </w:r>
      <w:proofErr w:type="spellStart"/>
      <w:r w:rsidRPr="00477056">
        <w:rPr>
          <w:rFonts w:ascii="Georgia" w:hAnsi="Georgia"/>
          <w:sz w:val="18"/>
          <w:szCs w:val="20"/>
          <w:rtl/>
        </w:rPr>
        <w:t>עזיזה</w:t>
      </w:r>
      <w:proofErr w:type="spellEnd"/>
      <w:r w:rsidRPr="00477056">
        <w:rPr>
          <w:rFonts w:ascii="Georgia" w:hAnsi="Georgia"/>
          <w:sz w:val="18"/>
          <w:szCs w:val="20"/>
          <w:rtl/>
        </w:rPr>
        <w:t>, עו"ס).</w:t>
      </w:r>
    </w:p>
    <w:p w14:paraId="5761F34A" w14:textId="77777777" w:rsidR="00493C94" w:rsidRPr="004F6698" w:rsidRDefault="00493C94" w:rsidP="00493C94">
      <w:pPr>
        <w:spacing w:line="280" w:lineRule="exact"/>
        <w:jc w:val="both"/>
        <w:rPr>
          <w:rFonts w:ascii="Georgia" w:hAnsi="Georgia"/>
          <w:sz w:val="18"/>
          <w:szCs w:val="20"/>
          <w:rtl/>
        </w:rPr>
      </w:pPr>
      <w:bookmarkStart w:id="44" w:name="_Toc127465346"/>
      <w:bookmarkStart w:id="45" w:name="_Toc127953447"/>
      <w:bookmarkStart w:id="46" w:name="_Toc127953475"/>
      <w:bookmarkStart w:id="47" w:name="_Toc127465339"/>
      <w:bookmarkStart w:id="48" w:name="_Toc127953440"/>
    </w:p>
    <w:p w14:paraId="0D20DAE8" w14:textId="7FEF3AEE" w:rsidR="00477056" w:rsidRPr="00493C94" w:rsidRDefault="00477056" w:rsidP="00493C94">
      <w:pPr>
        <w:keepNext/>
        <w:keepLines/>
        <w:spacing w:after="180" w:line="280" w:lineRule="exact"/>
        <w:jc w:val="both"/>
        <w:rPr>
          <w:rFonts w:ascii="Georgia" w:hAnsi="Georgia"/>
          <w:b/>
          <w:bCs/>
          <w:sz w:val="18"/>
          <w:szCs w:val="20"/>
          <w:rtl/>
        </w:rPr>
      </w:pPr>
      <w:proofErr w:type="spellStart"/>
      <w:r w:rsidRPr="00477056">
        <w:rPr>
          <w:rFonts w:ascii="Georgia" w:hAnsi="Georgia"/>
          <w:b/>
          <w:bCs/>
          <w:sz w:val="18"/>
          <w:szCs w:val="20"/>
          <w:rtl/>
        </w:rPr>
        <w:t>פרקטיקות</w:t>
      </w:r>
      <w:proofErr w:type="spellEnd"/>
      <w:r w:rsidRPr="00477056">
        <w:rPr>
          <w:rFonts w:ascii="Georgia" w:hAnsi="Georgia"/>
          <w:b/>
          <w:bCs/>
          <w:sz w:val="18"/>
          <w:szCs w:val="20"/>
          <w:rtl/>
        </w:rPr>
        <w:t xml:space="preserve"> להתמודדות עם תחושת הזרות </w:t>
      </w:r>
    </w:p>
    <w:p w14:paraId="407AA317" w14:textId="77777777" w:rsidR="00477056" w:rsidRPr="00477056" w:rsidRDefault="00477056" w:rsidP="00477056">
      <w:pPr>
        <w:pStyle w:val="Quote"/>
        <w:spacing w:before="0" w:after="180" w:line="280" w:lineRule="exact"/>
        <w:ind w:left="0" w:right="0"/>
        <w:jc w:val="both"/>
        <w:rPr>
          <w:rFonts w:ascii="Georgia" w:hAnsi="Georgia" w:cs="David"/>
          <w:i w:val="0"/>
          <w:iCs w:val="0"/>
          <w:color w:val="auto"/>
          <w:sz w:val="18"/>
          <w:szCs w:val="20"/>
          <w:rtl/>
        </w:rPr>
      </w:pPr>
      <w:r w:rsidRPr="00477056">
        <w:rPr>
          <w:rFonts w:ascii="Georgia" w:hAnsi="Georgia" w:cs="David"/>
          <w:i w:val="0"/>
          <w:iCs w:val="0"/>
          <w:sz w:val="18"/>
          <w:szCs w:val="20"/>
          <w:rtl/>
        </w:rPr>
        <w:t xml:space="preserve">המרואיינות מתארות עיסוק רב בהתמודדות עם תחושת הזרות ועם הביקורת שלהן כלפי גילויי פטריארכליות קיצוניים. הן תופסות את העבודה עם גברים ואת בניית יחסי האמון עימם כתנאי הכרחי לכך שהגברים יאפשרו לנשותיהן להשתתף בתהליכי טיפול או העצמה. </w:t>
      </w:r>
    </w:p>
    <w:p w14:paraId="3BCF74A9" w14:textId="77777777" w:rsidR="00477056" w:rsidRPr="00477056" w:rsidRDefault="00477056" w:rsidP="00493C94">
      <w:pPr>
        <w:spacing w:before="120" w:after="180"/>
        <w:ind w:left="567"/>
        <w:jc w:val="both"/>
        <w:rPr>
          <w:rFonts w:ascii="Georgia" w:hAnsi="Georgia"/>
          <w:sz w:val="18"/>
          <w:szCs w:val="20"/>
          <w:rtl/>
        </w:rPr>
      </w:pPr>
      <w:r w:rsidRPr="00477056">
        <w:rPr>
          <w:rFonts w:ascii="Georgia" w:hAnsi="Georgia"/>
          <w:sz w:val="18"/>
          <w:szCs w:val="20"/>
          <w:rtl/>
        </w:rPr>
        <w:t>לא קל לגייס גברים, אבל הצלחתי להפנים שאם אנחנו רוצים לעשות שינוי במשפחה הזאת צריכים להגיע לגבר, כי הגבר בסופו של דבר הוא המחליט והקובע. אם את נותנת לו את המקום שלו ואומרת לו שאתה המחליט והאחראי וכל שינוי שקורה במשפחה הזאת לך יש חלק גדול [...] ואתה עמוד השדרה של הבית וכל מה שקורה, כדי שהוא יעזור שהתהליכים יתקדמו, ולא יעכב תהליכים (יסמין, עו"ס).</w:t>
      </w:r>
    </w:p>
    <w:p w14:paraId="20BB3FED"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המרואיינות תיארו גם התמקדות </w:t>
      </w:r>
      <w:proofErr w:type="spellStart"/>
      <w:r w:rsidRPr="00477056">
        <w:rPr>
          <w:rFonts w:ascii="Georgia" w:hAnsi="Georgia"/>
          <w:sz w:val="18"/>
          <w:szCs w:val="20"/>
          <w:rtl/>
        </w:rPr>
        <w:t>בפרקטיקות</w:t>
      </w:r>
      <w:proofErr w:type="spellEnd"/>
      <w:r w:rsidRPr="00477056">
        <w:rPr>
          <w:rFonts w:ascii="Georgia" w:hAnsi="Georgia"/>
          <w:sz w:val="18"/>
          <w:szCs w:val="20"/>
          <w:rtl/>
        </w:rPr>
        <w:t xml:space="preserve"> של מיצוי זכויות אקטיבי ושל הכשרות תעסוקתיות כאמצעים יעילים ליצירת קשר עם גברים ולרכישת אמונם. </w:t>
      </w:r>
    </w:p>
    <w:p w14:paraId="4A903A58" w14:textId="77777777" w:rsidR="00477056" w:rsidRPr="00477056" w:rsidRDefault="00477056" w:rsidP="00493C94">
      <w:pPr>
        <w:spacing w:before="120" w:after="180"/>
        <w:ind w:left="567"/>
        <w:jc w:val="both"/>
        <w:rPr>
          <w:rFonts w:ascii="Georgia" w:hAnsi="Georgia"/>
          <w:sz w:val="18"/>
          <w:szCs w:val="20"/>
          <w:rtl/>
        </w:rPr>
      </w:pPr>
      <w:r w:rsidRPr="00477056">
        <w:rPr>
          <w:rFonts w:ascii="Georgia" w:hAnsi="Georgia"/>
          <w:sz w:val="18"/>
          <w:szCs w:val="20"/>
          <w:rtl/>
        </w:rPr>
        <w:t xml:space="preserve">היום אני יכולה להגיד שזה אחד ההישגים שלנו פה, שהגברים כבר מגיעים לפה וקל למשוך אותם לפה כי אנחנו תמיד מתמקדים בעניין הכלכלי: בוא נראה איך אפשר לעזור בחובות, איך אפשר לסייע בתעסוקה, להוסיף לך עוד עבודה, להוציא אותך לאיזשהו קורס. אנחנו מושכים אותם כך ואז לאט </w:t>
      </w:r>
      <w:proofErr w:type="spellStart"/>
      <w:r w:rsidRPr="00477056">
        <w:rPr>
          <w:rFonts w:ascii="Georgia" w:hAnsi="Georgia"/>
          <w:sz w:val="18"/>
          <w:szCs w:val="20"/>
          <w:rtl/>
        </w:rPr>
        <w:t>לאט</w:t>
      </w:r>
      <w:proofErr w:type="spellEnd"/>
      <w:r w:rsidRPr="00477056">
        <w:rPr>
          <w:rFonts w:ascii="Georgia" w:hAnsi="Georgia"/>
          <w:sz w:val="18"/>
          <w:szCs w:val="20"/>
          <w:rtl/>
        </w:rPr>
        <w:t xml:space="preserve"> האנשים מה שנקרא מתאהבים אולי, ומבינים שבסופו של דבר שזה בשבילם ונכנסים איתם יד ביד לתהליך (איריס, עו"ס).</w:t>
      </w:r>
    </w:p>
    <w:bookmarkEnd w:id="44"/>
    <w:bookmarkEnd w:id="45"/>
    <w:bookmarkEnd w:id="46"/>
    <w:bookmarkEnd w:id="47"/>
    <w:bookmarkEnd w:id="48"/>
    <w:p w14:paraId="71D0D2CC" w14:textId="77777777" w:rsidR="00493C94" w:rsidRPr="004F6698" w:rsidRDefault="00493C94" w:rsidP="00493C94">
      <w:pPr>
        <w:spacing w:line="280" w:lineRule="exact"/>
        <w:jc w:val="both"/>
        <w:rPr>
          <w:rFonts w:ascii="Georgia" w:hAnsi="Georgia"/>
          <w:sz w:val="18"/>
          <w:szCs w:val="20"/>
          <w:rtl/>
        </w:rPr>
      </w:pPr>
    </w:p>
    <w:p w14:paraId="7333E06E" w14:textId="77777777" w:rsidR="00493C94" w:rsidRPr="004F6698" w:rsidRDefault="00493C94" w:rsidP="00493C94">
      <w:pPr>
        <w:spacing w:line="280" w:lineRule="exact"/>
        <w:jc w:val="both"/>
        <w:rPr>
          <w:rFonts w:ascii="Georgia" w:hAnsi="Georgia"/>
          <w:sz w:val="18"/>
          <w:szCs w:val="20"/>
          <w:rtl/>
        </w:rPr>
      </w:pPr>
    </w:p>
    <w:p w14:paraId="1BE452EF" w14:textId="1482F26C" w:rsidR="00477056" w:rsidRPr="00477056" w:rsidRDefault="00477056" w:rsidP="00477056">
      <w:pPr>
        <w:pStyle w:val="KOT4"/>
        <w:spacing w:after="0"/>
        <w:ind w:left="397" w:right="0" w:hanging="397"/>
        <w:rPr>
          <w:rFonts w:cs="Guttman Aharoni"/>
          <w:color w:val="2A8E8C"/>
          <w:sz w:val="32"/>
          <w:szCs w:val="32"/>
        </w:rPr>
      </w:pPr>
      <w:r w:rsidRPr="00477056">
        <w:rPr>
          <w:rFonts w:cs="Guttman Aharoni"/>
          <w:color w:val="2A8E8C"/>
          <w:sz w:val="32"/>
          <w:szCs w:val="32"/>
          <w:rtl/>
        </w:rPr>
        <w:t xml:space="preserve">דיון </w:t>
      </w:r>
    </w:p>
    <w:p w14:paraId="214E6E72" w14:textId="2A86EB97" w:rsidR="00477056" w:rsidRPr="00493C94" w:rsidRDefault="00477056" w:rsidP="00477056">
      <w:pPr>
        <w:spacing w:after="180" w:line="280" w:lineRule="exact"/>
        <w:jc w:val="both"/>
        <w:rPr>
          <w:rFonts w:ascii="Georgia" w:hAnsi="Georgia"/>
          <w:sz w:val="18"/>
          <w:szCs w:val="20"/>
          <w:rtl/>
        </w:rPr>
      </w:pPr>
      <w:r w:rsidRPr="00493C94">
        <w:rPr>
          <w:rFonts w:ascii="Georgia" w:eastAsia="Calibri" w:hAnsi="Georgia"/>
          <w:sz w:val="18"/>
          <w:szCs w:val="20"/>
          <w:rtl/>
        </w:rPr>
        <w:t xml:space="preserve">במחקר </w:t>
      </w:r>
      <w:r w:rsidR="0007555E">
        <w:rPr>
          <w:rFonts w:ascii="Georgia" w:eastAsia="Calibri" w:hAnsi="Georgia" w:hint="cs"/>
          <w:sz w:val="18"/>
          <w:szCs w:val="20"/>
          <w:rtl/>
        </w:rPr>
        <w:t>זה</w:t>
      </w:r>
      <w:r w:rsidRPr="00493C94">
        <w:rPr>
          <w:rFonts w:ascii="Georgia" w:eastAsia="Calibri" w:hAnsi="Georgia"/>
          <w:sz w:val="18"/>
          <w:szCs w:val="20"/>
          <w:rtl/>
        </w:rPr>
        <w:t xml:space="preserve"> ביקשנו לבחון את האתגרים העומדים בפני עובדות סוציאליות בחברה הערבית ואת </w:t>
      </w:r>
      <w:proofErr w:type="spellStart"/>
      <w:r w:rsidRPr="00493C94">
        <w:rPr>
          <w:rFonts w:ascii="Georgia" w:eastAsia="Calibri" w:hAnsi="Georgia"/>
          <w:sz w:val="18"/>
          <w:szCs w:val="20"/>
          <w:rtl/>
        </w:rPr>
        <w:t>הפרקטיקות</w:t>
      </w:r>
      <w:proofErr w:type="spellEnd"/>
      <w:r w:rsidRPr="00493C94">
        <w:rPr>
          <w:rFonts w:ascii="Georgia" w:eastAsia="Calibri" w:hAnsi="Georgia"/>
          <w:sz w:val="18"/>
          <w:szCs w:val="20"/>
          <w:rtl/>
        </w:rPr>
        <w:t xml:space="preserve"> שהן נוקטות כדי להתמודד עימם, תוך כדי הבחנה בין המשותף לעבודה הסוציאלית בכלל החברה הישראלית לבין הייחודי לעבודה עם פונים מהחברה הערבית. עוד ביקשנו לזהות את הגורמים המעצבים את האתגרים הייחודיים לחברה הערבית.</w:t>
      </w:r>
    </w:p>
    <w:p w14:paraId="58EFDA2A"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בהשוואה בין האתגרים המשותפים לעובדות סוציאליות בישראל לבין אלה המייחדים את העובדות בקרב החברה הערבית מצאנו כי בין העוני בחברה הערבית לבין העוני בחברה הכללית יש קווי שוני וקווי דמיון. עובדות סוציאליות בכלל החברה מתמודדות עם הקושי להיענות לצרכים חומריים ועם הקושי להציע פרשנות אמפתית להתנהגויות של הפונים שנדמות לא רציונליות ולא יעילות, בעיקר בהקשר הכלכלי (</w:t>
      </w:r>
      <w:proofErr w:type="spellStart"/>
      <w:r w:rsidRPr="00477056">
        <w:rPr>
          <w:rFonts w:ascii="Georgia" w:hAnsi="Georgia"/>
          <w:sz w:val="18"/>
          <w:szCs w:val="20"/>
          <w:rtl/>
        </w:rPr>
        <w:t>קרומר</w:t>
      </w:r>
      <w:proofErr w:type="spellEnd"/>
      <w:r w:rsidRPr="00477056">
        <w:rPr>
          <w:rFonts w:ascii="Georgia" w:hAnsi="Georgia"/>
          <w:sz w:val="18"/>
          <w:szCs w:val="20"/>
          <w:rtl/>
        </w:rPr>
        <w:t xml:space="preserve">-נבו, 2022). עם זאת, האתגרים הייחודיים לעובדות סוציאליות בחברה הערבית שופכים אור על החסמים </w:t>
      </w:r>
      <w:r w:rsidRPr="00477056">
        <w:rPr>
          <w:rFonts w:ascii="Georgia" w:hAnsi="Georgia"/>
          <w:sz w:val="18"/>
          <w:szCs w:val="20"/>
          <w:rtl/>
        </w:rPr>
        <w:lastRenderedPageBreak/>
        <w:t xml:space="preserve">הפוליטיים-חברתיים-תרבותיים הייחודיים הקשורים להפליה מבנית כלפי החברה הערבית. עוני הוא מצב של דיכוי בפני עצמו; הוא מייצר חסמים מבניים במציאות, ובהם חסם להשגת דיור, בריאות, חינוך או תעסוקה ברמה נאותה. נוסף על כך הוא פוגע פגיעה מתמשכת ברמה הבין-אישית והאישית, שכן אנשים בעוני חווים טראומה עיקשת (זיו, 2012), מיקרו-אגרסיות, האחרה והדרה. במקרה שלפנינו יש להוסיף להיבטי הדיכוי הללו גם היבטים הקשורים למצב הדיכוי המתמשך, להפליה ולהדרה של החברה הערבית. </w:t>
      </w:r>
    </w:p>
    <w:p w14:paraId="0491536E"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ממצאינו מחדדים את השפעתם של החסמים המבניים העומדים בפני פונים מהחברה הערבית בשל הצטלבות מצבי הדיכוי. הממצאים מחזקים ממצאי מחקר קודם שערכנו, המבוסס על דיווחיהן של עובדות סוציאליות ערביות בסיטואציות של הדרכה, ולפיהם משפחות בעוני מתמודדות עם חסמים רבים ברמה סוציו-פוליטית לאומית ומקומית, סוציו-תרבותית ומשפחתית, וכי אלה התעצמו מאז תקופת הקורונה (</w:t>
      </w:r>
      <w:r w:rsidRPr="00477056">
        <w:rPr>
          <w:rFonts w:ascii="Georgia" w:hAnsi="Georgia"/>
          <w:sz w:val="18"/>
          <w:szCs w:val="20"/>
        </w:rPr>
        <w:t xml:space="preserve">Khoury &amp; </w:t>
      </w:r>
      <w:proofErr w:type="spellStart"/>
      <w:r w:rsidRPr="00477056">
        <w:rPr>
          <w:rFonts w:ascii="Georgia" w:hAnsi="Georgia"/>
          <w:sz w:val="18"/>
          <w:szCs w:val="20"/>
        </w:rPr>
        <w:t>Krumer</w:t>
      </w:r>
      <w:proofErr w:type="spellEnd"/>
      <w:r w:rsidRPr="00477056">
        <w:rPr>
          <w:rFonts w:ascii="Georgia" w:hAnsi="Georgia"/>
          <w:sz w:val="18"/>
          <w:szCs w:val="20"/>
        </w:rPr>
        <w:t>-Nevo, 2023</w:t>
      </w:r>
      <w:r w:rsidRPr="00477056">
        <w:rPr>
          <w:rFonts w:ascii="Georgia" w:hAnsi="Georgia"/>
          <w:sz w:val="18"/>
          <w:szCs w:val="20"/>
          <w:rtl/>
        </w:rPr>
        <w:t>). ממחקרנו עולה אפוא כי החסמים העומדים בפני המשפחות עומדים גם בפני העובדות הסוציאליות בבואן לסייע להם.</w:t>
      </w:r>
    </w:p>
    <w:p w14:paraId="563A5217"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ראש וראשון לחסמים אלו הוא חסם התעסוקה. ניסח זאת בצורה הקולעת ביותר המנהל שאמר שהוא מעדיף להישאר עם עובד סוציאלי אחד במחלקתו ולקבל 2 מפעלים בקרבת היישוב. בשל היותה מובלעת אתנית, הזדמנויות התעסוקה הסבירות בתוך הכלכלה הערבית המקומית הן דלות, מה שעלול להגדיל את האבטלה או לגרור העסקה במשרות שאינן הולמות את ההון האנושי של המועסקים (</w:t>
      </w:r>
      <w:proofErr w:type="spellStart"/>
      <w:r w:rsidRPr="00477056">
        <w:rPr>
          <w:rFonts w:ascii="Georgia" w:hAnsi="Georgia"/>
          <w:sz w:val="18"/>
          <w:szCs w:val="20"/>
          <w:rtl/>
        </w:rPr>
        <w:t>ח'טאב</w:t>
      </w:r>
      <w:proofErr w:type="spellEnd"/>
      <w:r w:rsidRPr="00477056">
        <w:rPr>
          <w:rFonts w:ascii="Georgia" w:hAnsi="Georgia"/>
          <w:sz w:val="18"/>
          <w:szCs w:val="20"/>
          <w:rtl/>
        </w:rPr>
        <w:t xml:space="preserve">, 2009). שיעור התעסוקה בקרב גברים ערבים בגיל העבודה נמוך מזה של היהודים </w:t>
      </w:r>
      <w:r w:rsidRPr="00477056">
        <w:rPr>
          <w:rFonts w:ascii="Georgia" w:hAnsi="Georgia"/>
          <w:sz w:val="18"/>
          <w:szCs w:val="20"/>
        </w:rPr>
        <w:t xml:space="preserve"> –</w:t>
      </w:r>
      <w:r w:rsidRPr="00477056">
        <w:rPr>
          <w:rFonts w:ascii="Georgia" w:hAnsi="Georgia"/>
          <w:sz w:val="18"/>
          <w:szCs w:val="20"/>
          <w:rtl/>
        </w:rPr>
        <w:t xml:space="preserve">76.4% ו-86.2%, בהתאמה (הלשכה המרכזית לסטטיסטיקה, 2023ג) </w:t>
      </w:r>
      <w:r w:rsidRPr="00477056">
        <w:rPr>
          <w:rFonts w:ascii="Georgia" w:hAnsi="Georgia"/>
          <w:sz w:val="18"/>
          <w:szCs w:val="20"/>
        </w:rPr>
        <w:t>–</w:t>
      </w:r>
      <w:r w:rsidRPr="00477056">
        <w:rPr>
          <w:rFonts w:ascii="Georgia" w:hAnsi="Georgia"/>
          <w:sz w:val="18"/>
          <w:szCs w:val="20"/>
          <w:rtl/>
        </w:rPr>
        <w:t xml:space="preserve"> אך הוא לבדו אינו מסביר את שיעורי העוני הגבוהים. כדי להבין את תמונת הזדמנויות התעסוקה יש לבחון גם את סוג ואיכות המשרות ואת תנאי ההעסקה, ואלו נמוכים ביותר בחברה הערבית לנוכח מחסור בהון אישי, מערכת חינוך ירודה ומגורים בפריפריה (משרד הכלכלה והתעשייה, 2021). </w:t>
      </w:r>
    </w:p>
    <w:p w14:paraId="166C1FDD"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גם לנגישות של תחבורה ושל שירותי חינוך לגיל הרך, שהיא חסרה מאוד ביישובים הערביים (</w:t>
      </w:r>
      <w:r w:rsidRPr="00477056">
        <w:rPr>
          <w:rFonts w:ascii="Georgia" w:hAnsi="Georgia"/>
          <w:sz w:val="18"/>
          <w:szCs w:val="20"/>
        </w:rPr>
        <w:t xml:space="preserve">Khoury &amp; </w:t>
      </w:r>
      <w:proofErr w:type="spellStart"/>
      <w:r w:rsidRPr="00477056">
        <w:rPr>
          <w:rFonts w:ascii="Georgia" w:hAnsi="Georgia"/>
          <w:sz w:val="18"/>
          <w:szCs w:val="20"/>
        </w:rPr>
        <w:t>Krumer</w:t>
      </w:r>
      <w:proofErr w:type="spellEnd"/>
      <w:r w:rsidRPr="00477056">
        <w:rPr>
          <w:rFonts w:ascii="Georgia" w:hAnsi="Georgia"/>
          <w:sz w:val="18"/>
          <w:szCs w:val="20"/>
        </w:rPr>
        <w:t>-Nevo, 2023</w:t>
      </w:r>
      <w:r w:rsidRPr="00477056">
        <w:rPr>
          <w:rFonts w:ascii="Georgia" w:hAnsi="Georgia"/>
          <w:sz w:val="18"/>
          <w:szCs w:val="20"/>
          <w:rtl/>
        </w:rPr>
        <w:t xml:space="preserve">), יש השפעה ישירה על מצב התעסוקה, בפרט של נשים. שיעור התעסוקה של נשים ערביות הוא נמוך בהרבה משל נשים יהודיות </w:t>
      </w:r>
      <w:r w:rsidRPr="00477056">
        <w:rPr>
          <w:rFonts w:ascii="Georgia" w:hAnsi="Georgia"/>
          <w:sz w:val="18"/>
          <w:szCs w:val="20"/>
        </w:rPr>
        <w:t>–</w:t>
      </w:r>
      <w:r w:rsidRPr="00477056">
        <w:rPr>
          <w:rFonts w:ascii="Georgia" w:hAnsi="Georgia"/>
          <w:sz w:val="18"/>
          <w:szCs w:val="20"/>
          <w:rtl/>
        </w:rPr>
        <w:t xml:space="preserve"> 43.6% ו-86.8%, בהתאמה (הלשכה המרכזית לסטטיסטיקה, 2023ג). מכיוון שמדובר בשיעור נמוך גם בהשוואה לשיעור התעסוקה הממוצע בקרב נשים בעולם הערבי (</w:t>
      </w:r>
      <w:proofErr w:type="spellStart"/>
      <w:r w:rsidRPr="00477056">
        <w:rPr>
          <w:rFonts w:ascii="Georgia" w:hAnsi="Georgia"/>
          <w:sz w:val="18"/>
          <w:szCs w:val="20"/>
          <w:rtl/>
        </w:rPr>
        <w:t>ג'ברין</w:t>
      </w:r>
      <w:proofErr w:type="spellEnd"/>
      <w:r w:rsidRPr="00477056">
        <w:rPr>
          <w:rFonts w:ascii="Georgia" w:hAnsi="Georgia"/>
          <w:sz w:val="18"/>
          <w:szCs w:val="20"/>
          <w:rtl/>
        </w:rPr>
        <w:t xml:space="preserve"> ואח', 2010), נדרשת בחינה מעמיקה של הסיבות למצב דברים זה. ממצאינו מורים כי המחסור בהזדמנויות תעסוקה מאלץ נשים לצאת למקום העבודה שלהן בעיר אחרת השכם בבוקר, ולשוב בשעות הערב. בהיעדר שירותי חינוך מותאמים לילדים הן משלמות על כך מחיר כבד, עד כדי כך שהעובדות הסוציאליות מתלבטות אם לעודד נשים לצאת לעבוד. </w:t>
      </w:r>
    </w:p>
    <w:p w14:paraId="4D0F1D27"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lastRenderedPageBreak/>
        <w:t xml:space="preserve">חסם ניכר אחר בדרכן של נשים לתעסוקה הוא החסם הפטריארכלי, כלומר, צורך בהסכמת הבעל ליציאתן לעבודה. זו דוגמה מובהקת להצטלבות מצבי דיכוי, שבה למצבי הדיכוי האחרים נוסף גם הדיכוי המגדרי. </w:t>
      </w:r>
    </w:p>
    <w:p w14:paraId="57DE4007" w14:textId="2BFE28A0" w:rsidR="00477056" w:rsidRPr="00477056" w:rsidRDefault="00477056" w:rsidP="00944592">
      <w:pPr>
        <w:spacing w:after="180" w:line="280" w:lineRule="exact"/>
        <w:jc w:val="both"/>
        <w:rPr>
          <w:rFonts w:ascii="Georgia" w:hAnsi="Georgia"/>
          <w:sz w:val="18"/>
          <w:szCs w:val="20"/>
          <w:rtl/>
        </w:rPr>
      </w:pPr>
      <w:r w:rsidRPr="00477056">
        <w:rPr>
          <w:rFonts w:ascii="Georgia" w:hAnsi="Georgia"/>
          <w:sz w:val="18"/>
          <w:szCs w:val="20"/>
          <w:rtl/>
        </w:rPr>
        <w:t xml:space="preserve">מצבם של אנשים חסרי מעמד חוקי בישראל הוא דוגמה נוספת להצטלבות של מצבי דיכוי קיצוניים שונים. בשל הקונפליקט הלאומי, נמנעת מאנשים אלו כל אפשרות לזכות במעמד חוקי בישראל. הדבר הופך אותם לפגיעים ביותר לעוני ומחליש, כמובן, גם את מעמדם במשפחה ובקהילה. העובדות הסוציאליות מוצאות את עצמן מנסות לסייע להם בלי שיש בידיהן כלים יעילים לכך. </w:t>
      </w:r>
    </w:p>
    <w:p w14:paraId="044B24BD" w14:textId="77777777" w:rsidR="00477056" w:rsidRPr="00493C94" w:rsidRDefault="00477056" w:rsidP="00477056">
      <w:pPr>
        <w:spacing w:after="180" w:line="280" w:lineRule="exact"/>
        <w:jc w:val="both"/>
        <w:rPr>
          <w:rFonts w:ascii="Georgia" w:hAnsi="Georgia"/>
          <w:spacing w:val="-2"/>
          <w:sz w:val="18"/>
          <w:szCs w:val="20"/>
          <w:rtl/>
        </w:rPr>
      </w:pPr>
      <w:r w:rsidRPr="00477056">
        <w:rPr>
          <w:rFonts w:ascii="Georgia" w:hAnsi="Georgia"/>
          <w:sz w:val="18"/>
          <w:szCs w:val="20"/>
          <w:rtl/>
        </w:rPr>
        <w:t>בהשוואה לחברות מערביות, אשר דוגלות, במוצהר לפחות, בשוויון מגדרי, החברה הערבית היא פטריארכלית יותר. עם זאת, לאור הנתונים על אודות מגמות של שינוי בהקשר זה, ועל נטייה לכיוון של שוויון מגדרי, בעיקר בקרב משפחות מהמעמד הבינוני (</w:t>
      </w:r>
      <w:proofErr w:type="spellStart"/>
      <w:r w:rsidRPr="00477056">
        <w:rPr>
          <w:rFonts w:ascii="Georgia" w:hAnsi="Georgia"/>
          <w:sz w:val="18"/>
          <w:szCs w:val="20"/>
          <w:rtl/>
        </w:rPr>
        <w:t>ח'ורי</w:t>
      </w:r>
      <w:proofErr w:type="spellEnd"/>
      <w:r w:rsidRPr="00477056">
        <w:rPr>
          <w:rFonts w:ascii="Georgia" w:hAnsi="Georgia"/>
          <w:sz w:val="18"/>
          <w:szCs w:val="20"/>
          <w:rtl/>
        </w:rPr>
        <w:t>, 2018), יש מקום לבחון אם ניתן להבין את הפטריארכליות בחברה הערבית גם על רקע של הצטלבות מיקומים חברתיים, שמעמד חברתי-כלכלי ממלא בהם תפקיד מכריע (</w:t>
      </w:r>
      <w:r w:rsidRPr="00477056">
        <w:rPr>
          <w:rFonts w:ascii="Georgia" w:hAnsi="Georgia"/>
          <w:sz w:val="18"/>
          <w:szCs w:val="20"/>
        </w:rPr>
        <w:t>Tarrant, 2021</w:t>
      </w:r>
      <w:r w:rsidRPr="00477056">
        <w:rPr>
          <w:rFonts w:ascii="Georgia" w:hAnsi="Georgia"/>
          <w:sz w:val="18"/>
          <w:szCs w:val="20"/>
          <w:rtl/>
        </w:rPr>
        <w:t>). יש הטוענים כי עוני ושוליות מחזקים את המבנים הפטריארכליים, את יחסי המגדר השמרניים ואת מערכות היחסים הנורמטיביות של שליטה מינית, באמצעות מתן עדיפות לתפקידו של הגבר כמפרנס על פני התפקיד הפסיבי שמיוחס לנשים (</w:t>
      </w:r>
      <w:r w:rsidRPr="00477056">
        <w:rPr>
          <w:rFonts w:ascii="Georgia" w:hAnsi="Georgia"/>
          <w:sz w:val="18"/>
          <w:szCs w:val="20"/>
        </w:rPr>
        <w:t>Hochschild, 1989; Tarrant, 2021</w:t>
      </w:r>
      <w:r w:rsidRPr="00477056">
        <w:rPr>
          <w:rFonts w:ascii="Georgia" w:hAnsi="Georgia"/>
          <w:sz w:val="18"/>
          <w:szCs w:val="20"/>
          <w:rtl/>
        </w:rPr>
        <w:t xml:space="preserve">). גברים הדוגלים ביחסי מגדר שוויוניים ולוקחים חלק בעבודת הבית הם </w:t>
      </w:r>
      <w:r w:rsidRPr="00493C94">
        <w:rPr>
          <w:rFonts w:ascii="Georgia" w:hAnsi="Georgia"/>
          <w:spacing w:val="-2"/>
          <w:sz w:val="18"/>
          <w:szCs w:val="20"/>
          <w:rtl/>
        </w:rPr>
        <w:t>בעיקר גברים משכילים שאינם עובדי כפיים (</w:t>
      </w:r>
      <w:proofErr w:type="spellStart"/>
      <w:r w:rsidRPr="00493C94">
        <w:rPr>
          <w:rFonts w:ascii="Georgia" w:hAnsi="Georgia"/>
          <w:spacing w:val="-2"/>
          <w:sz w:val="18"/>
          <w:szCs w:val="20"/>
          <w:rtl/>
        </w:rPr>
        <w:t>רינאוי</w:t>
      </w:r>
      <w:proofErr w:type="spellEnd"/>
      <w:r w:rsidRPr="00493C94">
        <w:rPr>
          <w:rFonts w:ascii="Georgia" w:hAnsi="Georgia"/>
          <w:spacing w:val="-2"/>
          <w:sz w:val="18"/>
          <w:szCs w:val="20"/>
          <w:rtl/>
        </w:rPr>
        <w:t xml:space="preserve">, 2003). כלומר, יש לבחון אם הפטריארכליות בצורותיה החריפות ביותר, כמו איסור על יציאה לעבודה, היא מאפיין מובהק של התרבות הערבית, או שהיא מאפיין תרבותי המתחזק במפגש שלו עם מעמד נמוך. </w:t>
      </w:r>
    </w:p>
    <w:p w14:paraId="51CD121E"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העובדות הסוציאליות שהשתתפו במחקר נטו לפרש את הפטריארכליות כביטוי של דתיות (בקרב הדרוזים) או אתניות (בקרב הבדואים), וכמעט שלא נקטו פרשנות מעמדית המתייחסת להשפעתו של המעמד החברתי-כלכלי על התרבות. בכך הן מאמצות גישה </w:t>
      </w:r>
      <w:proofErr w:type="spellStart"/>
      <w:r w:rsidRPr="00477056">
        <w:rPr>
          <w:rFonts w:ascii="Georgia" w:hAnsi="Georgia"/>
          <w:sz w:val="18"/>
          <w:szCs w:val="20"/>
          <w:rtl/>
        </w:rPr>
        <w:t>מהותנית</w:t>
      </w:r>
      <w:proofErr w:type="spellEnd"/>
      <w:r w:rsidRPr="00477056">
        <w:rPr>
          <w:rFonts w:ascii="Georgia" w:hAnsi="Georgia"/>
          <w:sz w:val="18"/>
          <w:szCs w:val="20"/>
          <w:rtl/>
        </w:rPr>
        <w:t xml:space="preserve"> וא-פוליטית של המושג </w:t>
      </w:r>
      <w:r w:rsidRPr="00477056">
        <w:rPr>
          <w:rFonts w:ascii="Georgia" w:hAnsi="Georgia"/>
          <w:b/>
          <w:bCs/>
          <w:sz w:val="18"/>
          <w:szCs w:val="20"/>
          <w:rtl/>
        </w:rPr>
        <w:t>תרבות</w:t>
      </w:r>
      <w:r w:rsidRPr="00477056">
        <w:rPr>
          <w:rFonts w:ascii="Georgia" w:hAnsi="Georgia"/>
          <w:sz w:val="18"/>
          <w:szCs w:val="20"/>
          <w:rtl/>
        </w:rPr>
        <w:t>. גם במחקר אחר נמצא כי מרבית העובדים הסוציאליים, היהודים והערבים, העובדים בערים מעורבות (עכו, ירושלים, וחיפה) נקטו שיח אוניברסלי א-פוליטי או שיח של מיומנות תרבותית. רק מי שעבדו במזרח ירושלים, אזור שהקונפליקט הלאומי בו חזק יותר מבכל אזורי המחקר, נקטו תפיסה פוליטית של התרבות וקישרו אותה למצבי דיכוי שונים (</w:t>
      </w:r>
      <w:r w:rsidRPr="00477056">
        <w:rPr>
          <w:rFonts w:ascii="Georgia" w:hAnsi="Georgia"/>
          <w:sz w:val="18"/>
          <w:szCs w:val="20"/>
        </w:rPr>
        <w:t>Abu-Rayya et al., 2021</w:t>
      </w:r>
      <w:r w:rsidRPr="00477056">
        <w:rPr>
          <w:rFonts w:ascii="Georgia" w:hAnsi="Georgia"/>
          <w:sz w:val="18"/>
          <w:szCs w:val="20"/>
          <w:rtl/>
        </w:rPr>
        <w:t xml:space="preserve">). </w:t>
      </w:r>
    </w:p>
    <w:p w14:paraId="433CF03A" w14:textId="77777777" w:rsidR="00477056" w:rsidRPr="00DA0DE3" w:rsidRDefault="00477056" w:rsidP="00477056">
      <w:pPr>
        <w:spacing w:after="180" w:line="280" w:lineRule="exact"/>
        <w:jc w:val="both"/>
        <w:rPr>
          <w:rFonts w:ascii="Georgia" w:hAnsi="Georgia"/>
          <w:spacing w:val="-2"/>
          <w:sz w:val="18"/>
          <w:szCs w:val="20"/>
          <w:rtl/>
        </w:rPr>
      </w:pPr>
      <w:r w:rsidRPr="00DA0DE3">
        <w:rPr>
          <w:rFonts w:ascii="Georgia" w:hAnsi="Georgia"/>
          <w:spacing w:val="-2"/>
          <w:sz w:val="18"/>
          <w:szCs w:val="20"/>
          <w:rtl/>
        </w:rPr>
        <w:t xml:space="preserve">הפטריארכליות מסתמנת במחקרנו כהיבט קריטי אשר גורם לעובדות סוציאליות לחוש שונות או זרות כלפי הפונים. אפשר שחוויה זו קשורה לכך שהן שייכות למעמד בינוני, וכן לסוציאליזציה המקצועית שלהן, המדגישה את ערכי השוויון בכלל, ואת ערכי השוויון המגדרי בפרט. בהקשר זה, ג'מאל-עבוד </w:t>
      </w:r>
      <w:proofErr w:type="spellStart"/>
      <w:r w:rsidRPr="00DA0DE3">
        <w:rPr>
          <w:rFonts w:ascii="Georgia" w:hAnsi="Georgia"/>
          <w:spacing w:val="-2"/>
          <w:sz w:val="18"/>
          <w:szCs w:val="20"/>
          <w:rtl/>
        </w:rPr>
        <w:t>ובליט</w:t>
      </w:r>
      <w:proofErr w:type="spellEnd"/>
      <w:r w:rsidRPr="00DA0DE3">
        <w:rPr>
          <w:rFonts w:ascii="Georgia" w:hAnsi="Georgia"/>
          <w:spacing w:val="-2"/>
          <w:sz w:val="18"/>
          <w:szCs w:val="20"/>
          <w:rtl/>
        </w:rPr>
        <w:t xml:space="preserve">-כהן (2019), אשר ראיינו עובדות סוציאליות ערביות העובדות עם גברים ערבים במרכזי ילדים-הורים, מצאו כי העובדות עושות מאמצים להתאים את עצמן למאפיינים התרבותיים של הגברים, אך הן רואות בכך ויתור על עקרונות מקצועיים. </w:t>
      </w:r>
    </w:p>
    <w:p w14:paraId="13D8A70E"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lastRenderedPageBreak/>
        <w:t xml:space="preserve">כאמור לעיל, אנו סבורות כי כדי להבין את אתגרי העוני בחברה הערבית אין די בהבנת התרבות הערבית, אלא יש הכרח בהבנה חברתית-מערכתית-פוליטית. במובנים מסוימים צדקו מנהלי המחלקות שטענו כי התוכניות לטיפול בעוני המוצעות להם אינן מתאימות למציאות המורכבת שהם מתמודדים איתה. עם זאת, לא נראה שהמענה לבעיה שהם הציגו יהיה בדמות הגברת הרגישות התרבותית, שכן המרואיינים במחקרנו ידעו להפעיל רגישות למאפיינים התרבותיים של הפונים שלהם. העובדות הסוציאליות, וכך גם הפונים, אינן זקוקות רק למודלים טיפוליים ייחודיים, אלא לשינוי מבני-פוליטי-חברתי-וכלכלי שיאפשר להן להתמודד עם החסמים הפוליטיים, החברתיים והכלכליים המעצבים את המציאות שהן פועלות בתוכה. בעיקר נדרשים פיתוח של הזדמנויות תעסוקתיות, שירותי טיפול וחינוך מותאמים והסדרת מעמדם של בני זוג חסרי זכויות. </w:t>
      </w:r>
    </w:p>
    <w:p w14:paraId="798D9096" w14:textId="02EF5765"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שינוי מבני כזה אינו נראה באופק, והעובדות הסוציאליות שהשתתפו במחקר כמעט שלא תיארו עיסוק בערוצים שונים של השפעה על מדיניות שאמורה להוביל לכיוון זה. המרואיינות נקטו בעיקר </w:t>
      </w:r>
      <w:proofErr w:type="spellStart"/>
      <w:r w:rsidRPr="00477056">
        <w:rPr>
          <w:rFonts w:ascii="Georgia" w:hAnsi="Georgia"/>
          <w:sz w:val="18"/>
          <w:szCs w:val="20"/>
          <w:rtl/>
        </w:rPr>
        <w:t>פרקטיקות</w:t>
      </w:r>
      <w:proofErr w:type="spellEnd"/>
      <w:r w:rsidRPr="00477056">
        <w:rPr>
          <w:rFonts w:ascii="Georgia" w:hAnsi="Georgia"/>
          <w:sz w:val="18"/>
          <w:szCs w:val="20"/>
          <w:rtl/>
        </w:rPr>
        <w:t xml:space="preserve"> מגוונות של סיוע פרטני, קבוצתי וקהילתי. הן תיארו מודעות גבוהה להקשר המשפחתי והתרבותי של הפונים וניסיון מתמשך לפעול למען שינוי, בלי לערער במישרין על מוסכמות חברתיות. ההשקעה הרבה ביצירת אפשרויות תעסוקה לנשים בבתיהן, בגיוס גברים לקשר ובפתרון נקודתי של בעיות של אנשים חסרי מעמד היא הוכחה לכך שהעובדות הסוציאליות מהלכות בזהירות בין התנגדות עקיפה לבין מיקוח, הן אל מול הממסד הן אל מול הנורמות השמרניות בחברה הערבית. בכך הן מזכירות את אסטרטגיות המיקוח שנשים ערביות נוקטות כדי להשיג שינוי בנורמות ובערכים שמרניים בלי לערער עליהם בגלוי. נשים פורצות דרך עושות שימוש באסטרטגיות כאלו; לדוגמה, מבקשות את הסכמת האב ואת תמיכתו כדי להשיג השכלה גבוהה (</w:t>
      </w:r>
      <w:r w:rsidRPr="00477056">
        <w:rPr>
          <w:rFonts w:ascii="Georgia" w:hAnsi="Georgia"/>
          <w:sz w:val="18"/>
          <w:szCs w:val="20"/>
        </w:rPr>
        <w:t>Abu-Rabia-Queder, 2007</w:t>
      </w:r>
      <w:r w:rsidRPr="00477056">
        <w:rPr>
          <w:rFonts w:ascii="Georgia" w:hAnsi="Georgia"/>
          <w:sz w:val="18"/>
          <w:szCs w:val="20"/>
          <w:rtl/>
        </w:rPr>
        <w:t>), או עוטות רעלה כדי להשיג חופש תנועה וניידות (</w:t>
      </w:r>
      <w:r w:rsidRPr="00477056">
        <w:rPr>
          <w:rFonts w:ascii="Georgia" w:hAnsi="Georgia"/>
          <w:sz w:val="18"/>
          <w:szCs w:val="20"/>
        </w:rPr>
        <w:t>Abu-Rabia-Queder, 2006</w:t>
      </w:r>
      <w:r w:rsidRPr="00477056">
        <w:rPr>
          <w:rFonts w:ascii="Georgia" w:hAnsi="Georgia"/>
          <w:sz w:val="18"/>
          <w:szCs w:val="20"/>
          <w:rtl/>
        </w:rPr>
        <w:t xml:space="preserve">). אסטרטגיות כאלו נמצאו יעילות מכיוון שהן מאפשרות לנשים להשיג שינוי במציאות תוך כדי שמירה על שייכות משפחתית וחברתית, ובלי לשלם את המחיר הכרוך </w:t>
      </w:r>
      <w:proofErr w:type="spellStart"/>
      <w:r w:rsidRPr="00477056">
        <w:rPr>
          <w:rFonts w:ascii="Georgia" w:hAnsi="Georgia"/>
          <w:sz w:val="18"/>
          <w:szCs w:val="20"/>
          <w:rtl/>
        </w:rPr>
        <w:t>באתגור</w:t>
      </w:r>
      <w:proofErr w:type="spellEnd"/>
      <w:r w:rsidRPr="00477056">
        <w:rPr>
          <w:rFonts w:ascii="Georgia" w:hAnsi="Georgia"/>
          <w:sz w:val="18"/>
          <w:szCs w:val="20"/>
          <w:rtl/>
        </w:rPr>
        <w:t xml:space="preserve"> ישיר של מוסדות כוח חברתיים. בדומה לנשים פורצות הדרך בחברה הערבית, העובדות הסוציאליות נוקטות אסטרטגיות של התמקחות עם הפטריארכיה, יצירתיות בשימוש במיצוי זכויות וסיוע חומרי, אך אינן עוסקות בשינוי מדיניות ובהתנגדות ישירה להפליה, להדרה ולאי-שוויון ברמה המקומית והארצית.</w:t>
      </w:r>
    </w:p>
    <w:p w14:paraId="2835D3C6" w14:textId="77777777" w:rsidR="00493C94" w:rsidRPr="004F6698" w:rsidRDefault="00493C94" w:rsidP="00493C94">
      <w:pPr>
        <w:spacing w:line="280" w:lineRule="exact"/>
        <w:jc w:val="both"/>
        <w:rPr>
          <w:rFonts w:ascii="Georgia" w:hAnsi="Georgia"/>
          <w:sz w:val="18"/>
          <w:szCs w:val="20"/>
          <w:rtl/>
        </w:rPr>
      </w:pPr>
    </w:p>
    <w:p w14:paraId="1B7AE46C" w14:textId="78E57450" w:rsidR="00477056" w:rsidRPr="00477056" w:rsidRDefault="00477056" w:rsidP="00477056">
      <w:pPr>
        <w:pStyle w:val="KOT5"/>
        <w:spacing w:after="0"/>
        <w:ind w:right="0"/>
        <w:outlineLvl w:val="2"/>
        <w:rPr>
          <w:rFonts w:cs="Guttman Aharoni"/>
          <w:color w:val="BA2A16"/>
          <w:rtl/>
        </w:rPr>
      </w:pPr>
      <w:r w:rsidRPr="00477056">
        <w:rPr>
          <w:rFonts w:cs="Guttman Aharoni"/>
          <w:color w:val="BA2A16"/>
          <w:rtl/>
        </w:rPr>
        <w:t xml:space="preserve">מגבלות המחקר </w:t>
      </w:r>
    </w:p>
    <w:p w14:paraId="5499B523" w14:textId="340A177D"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למחקרנו 3 מגבלות מרכזיות: הראשונה מקורה בכך שאף שניסינו לפרוס במחקר את </w:t>
      </w:r>
      <w:r w:rsidR="00493C94">
        <w:rPr>
          <w:rFonts w:ascii="Georgia" w:hAnsi="Georgia"/>
          <w:sz w:val="18"/>
          <w:szCs w:val="20"/>
          <w:rtl/>
        </w:rPr>
        <w:br/>
      </w:r>
      <w:r w:rsidRPr="00477056">
        <w:rPr>
          <w:rFonts w:ascii="Georgia" w:hAnsi="Georgia"/>
          <w:sz w:val="18"/>
          <w:szCs w:val="20"/>
          <w:rtl/>
        </w:rPr>
        <w:t xml:space="preserve">הרב-גוניות של החברה הערבית, לא ניתן להכליל מן הממצאים על כלל החברה הערבית. המגבלה השנייה נוגעת להחלטה שלא לחשוף את שמות היישובים ולא לייחס את הציטוטים ליישוב זה או אחר. החלטה זו אינה מאפשרת הבנה ספציפית יותר של המאפיינים הייחודיים של כל יישוב. המגבלה השלישית נוגעת להתייחסות מועטה של המרואיינות לפוליגמיה. אין </w:t>
      </w:r>
      <w:r w:rsidRPr="00477056">
        <w:rPr>
          <w:rFonts w:ascii="Georgia" w:hAnsi="Georgia"/>
          <w:sz w:val="18"/>
          <w:szCs w:val="20"/>
          <w:rtl/>
        </w:rPr>
        <w:lastRenderedPageBreak/>
        <w:t>ספק שפוליגמיה דנה פעמים רבות את אחת הנשים ואת ילדיה לחיים של עוני מרוד ומצוקה נפשית (</w:t>
      </w:r>
      <w:r w:rsidRPr="00477056">
        <w:rPr>
          <w:rFonts w:ascii="Georgia" w:hAnsi="Georgia"/>
          <w:sz w:val="18"/>
          <w:szCs w:val="20"/>
        </w:rPr>
        <w:t>Al-</w:t>
      </w:r>
      <w:proofErr w:type="spellStart"/>
      <w:r w:rsidRPr="00477056">
        <w:rPr>
          <w:rFonts w:ascii="Georgia" w:hAnsi="Georgia"/>
          <w:sz w:val="18"/>
          <w:szCs w:val="20"/>
        </w:rPr>
        <w:t>Krenawi</w:t>
      </w:r>
      <w:proofErr w:type="spellEnd"/>
      <w:r w:rsidRPr="00477056">
        <w:rPr>
          <w:rFonts w:ascii="Georgia" w:hAnsi="Georgia"/>
          <w:sz w:val="18"/>
          <w:szCs w:val="20"/>
        </w:rPr>
        <w:t xml:space="preserve"> et al., 2001</w:t>
      </w:r>
      <w:r w:rsidRPr="00477056">
        <w:rPr>
          <w:rFonts w:ascii="Georgia" w:hAnsi="Georgia"/>
          <w:sz w:val="18"/>
          <w:szCs w:val="20"/>
          <w:rtl/>
        </w:rPr>
        <w:t xml:space="preserve">), הן בשל ריבוי הנפשות במשפחה הן מכיוון שפעמים רבות הגבר נוטש את אחת הנשים. בראיונות שערכנו, פוליגמיה הוזכרה רק ב-2 יישובים ובהקשר של חסרי מעמד, שכן האישה השנייה </w:t>
      </w:r>
      <w:proofErr w:type="spellStart"/>
      <w:r w:rsidRPr="00477056">
        <w:rPr>
          <w:rFonts w:ascii="Georgia" w:hAnsi="Georgia"/>
          <w:sz w:val="18"/>
          <w:szCs w:val="20"/>
          <w:rtl/>
        </w:rPr>
        <w:t>היתה</w:t>
      </w:r>
      <w:proofErr w:type="spellEnd"/>
      <w:r w:rsidRPr="00477056">
        <w:rPr>
          <w:rFonts w:ascii="Georgia" w:hAnsi="Georgia"/>
          <w:sz w:val="18"/>
          <w:szCs w:val="20"/>
          <w:rtl/>
        </w:rPr>
        <w:t xml:space="preserve"> חסרת מעמד (</w:t>
      </w:r>
      <w:proofErr w:type="spellStart"/>
      <w:r w:rsidRPr="00477056">
        <w:rPr>
          <w:rFonts w:ascii="Georgia" w:hAnsi="Georgia"/>
          <w:sz w:val="18"/>
          <w:szCs w:val="20"/>
          <w:rtl/>
        </w:rPr>
        <w:t>דעייף</w:t>
      </w:r>
      <w:proofErr w:type="spellEnd"/>
      <w:r w:rsidRPr="00477056">
        <w:rPr>
          <w:rFonts w:ascii="Georgia" w:hAnsi="Georgia"/>
          <w:sz w:val="18"/>
          <w:szCs w:val="20"/>
          <w:rtl/>
        </w:rPr>
        <w:t xml:space="preserve">, 2007). ייתכן שהסיבה לכך היא שהמחקר כלל רק יישוב בדואי אחד, וכן מכיוון שהשוליות המרובה של האוכלוסייה מייצרת חסמים רבים עד כדי כך שהמרואיינים לא התייחסו לכולם. </w:t>
      </w:r>
    </w:p>
    <w:p w14:paraId="0233F7F9" w14:textId="77777777" w:rsidR="00493C94" w:rsidRPr="004F6698" w:rsidRDefault="00493C94" w:rsidP="00493C94">
      <w:pPr>
        <w:spacing w:line="280" w:lineRule="exact"/>
        <w:jc w:val="both"/>
        <w:rPr>
          <w:rFonts w:ascii="Georgia" w:hAnsi="Georgia"/>
          <w:sz w:val="18"/>
          <w:szCs w:val="20"/>
          <w:rtl/>
        </w:rPr>
      </w:pPr>
    </w:p>
    <w:p w14:paraId="126CB012" w14:textId="01EC5884" w:rsidR="00477056" w:rsidRPr="00493C94" w:rsidRDefault="00477056" w:rsidP="00493C94">
      <w:pPr>
        <w:pStyle w:val="KOT5"/>
        <w:spacing w:after="0"/>
        <w:ind w:right="0"/>
        <w:outlineLvl w:val="2"/>
        <w:rPr>
          <w:rFonts w:cs="Guttman Aharoni"/>
          <w:color w:val="BA2A16"/>
          <w:rtl/>
        </w:rPr>
      </w:pPr>
      <w:r w:rsidRPr="00493C94">
        <w:rPr>
          <w:rFonts w:cs="Guttman Aharoni"/>
          <w:color w:val="BA2A16"/>
          <w:rtl/>
        </w:rPr>
        <w:t>תרומת המחקר</w:t>
      </w:r>
    </w:p>
    <w:p w14:paraId="6EAB68E5"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עם זאת, למחקר יש תרומה לידע במחקר בנושא עבודה סוציאלית עם משפחות בעוני מהחברה הערבית. בכך הוא מתווסף למחקרים שעיצבו ידע מקצועי בתחום האלימות במשפחה (</w:t>
      </w:r>
      <w:proofErr w:type="spellStart"/>
      <w:r w:rsidRPr="00477056">
        <w:rPr>
          <w:rFonts w:ascii="Georgia" w:hAnsi="Georgia"/>
          <w:sz w:val="18"/>
          <w:szCs w:val="20"/>
          <w:rtl/>
        </w:rPr>
        <w:t>בוכבינדר</w:t>
      </w:r>
      <w:proofErr w:type="spellEnd"/>
      <w:r w:rsidRPr="00477056">
        <w:rPr>
          <w:rFonts w:ascii="Georgia" w:hAnsi="Georgia"/>
          <w:sz w:val="18"/>
          <w:szCs w:val="20"/>
          <w:rtl/>
        </w:rPr>
        <w:t xml:space="preserve"> ואסעד, 2000; חאג'-יחיא וסדן, 2007; שלהוב-</w:t>
      </w:r>
      <w:proofErr w:type="spellStart"/>
      <w:r w:rsidRPr="00477056">
        <w:rPr>
          <w:rFonts w:ascii="Georgia" w:hAnsi="Georgia"/>
          <w:sz w:val="18"/>
          <w:szCs w:val="20"/>
          <w:rtl/>
        </w:rPr>
        <w:t>קיבורקיאן</w:t>
      </w:r>
      <w:proofErr w:type="spellEnd"/>
      <w:r w:rsidRPr="00477056">
        <w:rPr>
          <w:rFonts w:ascii="Georgia" w:hAnsi="Georgia"/>
          <w:sz w:val="18"/>
          <w:szCs w:val="20"/>
          <w:rtl/>
        </w:rPr>
        <w:t>, 2003</w:t>
      </w:r>
      <w:r w:rsidRPr="00477056">
        <w:rPr>
          <w:rFonts w:ascii="Georgia" w:hAnsi="Georgia"/>
          <w:color w:val="222222"/>
          <w:sz w:val="18"/>
          <w:szCs w:val="20"/>
          <w:shd w:val="clear" w:color="auto" w:fill="FFFFFF"/>
          <w:rtl/>
        </w:rPr>
        <w:t xml:space="preserve">; </w:t>
      </w:r>
      <w:r w:rsidRPr="00477056">
        <w:rPr>
          <w:rFonts w:ascii="Georgia" w:hAnsi="Georgia"/>
          <w:sz w:val="18"/>
          <w:szCs w:val="20"/>
        </w:rPr>
        <w:t>Buchbinder &amp; Barakat, 2014; Shalhoub-</w:t>
      </w:r>
      <w:proofErr w:type="spellStart"/>
      <w:r w:rsidRPr="00477056">
        <w:rPr>
          <w:rFonts w:ascii="Georgia" w:hAnsi="Georgia"/>
          <w:sz w:val="18"/>
          <w:szCs w:val="20"/>
        </w:rPr>
        <w:t>Kervorkian</w:t>
      </w:r>
      <w:proofErr w:type="spellEnd"/>
      <w:r w:rsidRPr="00477056">
        <w:rPr>
          <w:rFonts w:ascii="Georgia" w:hAnsi="Georgia"/>
          <w:sz w:val="18"/>
          <w:szCs w:val="20"/>
        </w:rPr>
        <w:t xml:space="preserve"> &amp; Daher-</w:t>
      </w:r>
      <w:proofErr w:type="spellStart"/>
      <w:r w:rsidRPr="00477056">
        <w:rPr>
          <w:rFonts w:ascii="Georgia" w:hAnsi="Georgia"/>
          <w:sz w:val="18"/>
          <w:szCs w:val="20"/>
        </w:rPr>
        <w:t>Nashif</w:t>
      </w:r>
      <w:proofErr w:type="spellEnd"/>
      <w:r w:rsidRPr="00477056">
        <w:rPr>
          <w:rFonts w:ascii="Georgia" w:hAnsi="Georgia"/>
          <w:sz w:val="18"/>
          <w:szCs w:val="20"/>
        </w:rPr>
        <w:t>, 2013</w:t>
      </w:r>
      <w:r w:rsidRPr="00477056">
        <w:rPr>
          <w:rFonts w:ascii="Georgia" w:hAnsi="Georgia"/>
          <w:sz w:val="18"/>
          <w:szCs w:val="20"/>
          <w:rtl/>
        </w:rPr>
        <w:t>), אלימות פוליטית (</w:t>
      </w:r>
      <w:r w:rsidRPr="00477056">
        <w:rPr>
          <w:rFonts w:ascii="Georgia" w:hAnsi="Georgia"/>
          <w:sz w:val="18"/>
          <w:szCs w:val="20"/>
        </w:rPr>
        <w:t>(Ali-Saleh-</w:t>
      </w:r>
      <w:proofErr w:type="spellStart"/>
      <w:r w:rsidRPr="00477056">
        <w:rPr>
          <w:rFonts w:ascii="Georgia" w:hAnsi="Georgia"/>
          <w:sz w:val="18"/>
          <w:szCs w:val="20"/>
        </w:rPr>
        <w:t>Darawshy</w:t>
      </w:r>
      <w:proofErr w:type="spellEnd"/>
      <w:r w:rsidRPr="00477056">
        <w:rPr>
          <w:rFonts w:ascii="Georgia" w:hAnsi="Georgia"/>
          <w:sz w:val="18"/>
          <w:szCs w:val="20"/>
        </w:rPr>
        <w:t xml:space="preserve"> et al., 2023</w:t>
      </w:r>
      <w:r w:rsidRPr="00477056">
        <w:rPr>
          <w:rFonts w:ascii="Georgia" w:hAnsi="Georgia"/>
          <w:sz w:val="18"/>
          <w:szCs w:val="20"/>
          <w:rtl/>
        </w:rPr>
        <w:t>, בריאות הנפש (</w:t>
      </w:r>
      <w:r w:rsidRPr="00477056">
        <w:rPr>
          <w:rFonts w:ascii="Georgia" w:hAnsi="Georgia"/>
          <w:sz w:val="18"/>
          <w:szCs w:val="20"/>
        </w:rPr>
        <w:t>Al-</w:t>
      </w:r>
      <w:proofErr w:type="spellStart"/>
      <w:r w:rsidRPr="00477056">
        <w:rPr>
          <w:rFonts w:ascii="Georgia" w:hAnsi="Georgia"/>
          <w:sz w:val="18"/>
          <w:szCs w:val="20"/>
        </w:rPr>
        <w:t>Krenawi</w:t>
      </w:r>
      <w:proofErr w:type="spellEnd"/>
      <w:r w:rsidRPr="00477056">
        <w:rPr>
          <w:rFonts w:ascii="Georgia" w:hAnsi="Georgia"/>
          <w:sz w:val="18"/>
          <w:szCs w:val="20"/>
        </w:rPr>
        <w:t>, 2002; Al-</w:t>
      </w:r>
      <w:proofErr w:type="spellStart"/>
      <w:r w:rsidRPr="00477056">
        <w:rPr>
          <w:rFonts w:ascii="Georgia" w:hAnsi="Georgia"/>
          <w:sz w:val="18"/>
          <w:szCs w:val="20"/>
        </w:rPr>
        <w:t>Krenawi</w:t>
      </w:r>
      <w:proofErr w:type="spellEnd"/>
      <w:r w:rsidRPr="00477056">
        <w:rPr>
          <w:rFonts w:ascii="Georgia" w:hAnsi="Georgia"/>
          <w:sz w:val="18"/>
          <w:szCs w:val="20"/>
        </w:rPr>
        <w:t xml:space="preserve"> &amp; Graham, 2000</w:t>
      </w:r>
      <w:r w:rsidRPr="00477056">
        <w:rPr>
          <w:rFonts w:ascii="Georgia" w:hAnsi="Georgia"/>
          <w:color w:val="222222"/>
          <w:sz w:val="18"/>
          <w:szCs w:val="20"/>
          <w:shd w:val="clear" w:color="auto" w:fill="FFFFFF"/>
          <w:rtl/>
        </w:rPr>
        <w:t>)</w:t>
      </w:r>
      <w:r w:rsidRPr="00477056">
        <w:rPr>
          <w:rFonts w:ascii="Georgia" w:hAnsi="Georgia"/>
          <w:sz w:val="18"/>
          <w:szCs w:val="20"/>
          <w:rtl/>
        </w:rPr>
        <w:t xml:space="preserve">, נשים צעירות </w:t>
      </w:r>
      <w:r w:rsidRPr="00477056">
        <w:rPr>
          <w:rFonts w:ascii="Georgia" w:eastAsia="David" w:hAnsi="Georgia"/>
          <w:sz w:val="18"/>
          <w:szCs w:val="20"/>
          <w:rtl/>
        </w:rPr>
        <w:t>(</w:t>
      </w:r>
      <w:r w:rsidRPr="00477056">
        <w:rPr>
          <w:rFonts w:ascii="Georgia" w:hAnsi="Georgia"/>
          <w:sz w:val="18"/>
          <w:szCs w:val="20"/>
        </w:rPr>
        <w:t>Elias et al., 2019; Levin et al., 2023</w:t>
      </w:r>
      <w:r w:rsidRPr="00477056">
        <w:rPr>
          <w:rFonts w:ascii="Georgia" w:eastAsia="David" w:hAnsi="Georgia"/>
          <w:sz w:val="18"/>
          <w:szCs w:val="20"/>
          <w:rtl/>
        </w:rPr>
        <w:t>) מוגבלות (</w:t>
      </w:r>
      <w:r w:rsidRPr="00477056">
        <w:rPr>
          <w:rFonts w:ascii="Georgia" w:hAnsi="Georgia"/>
          <w:sz w:val="18"/>
          <w:szCs w:val="20"/>
        </w:rPr>
        <w:t>Badran et al., 2003</w:t>
      </w:r>
      <w:r w:rsidRPr="00477056">
        <w:rPr>
          <w:rFonts w:ascii="Georgia" w:eastAsia="David" w:hAnsi="Georgia"/>
          <w:sz w:val="18"/>
          <w:szCs w:val="20"/>
          <w:rtl/>
        </w:rPr>
        <w:t xml:space="preserve">), </w:t>
      </w:r>
      <w:proofErr w:type="gramStart"/>
      <w:r w:rsidRPr="00477056">
        <w:rPr>
          <w:rFonts w:ascii="Georgia" w:eastAsia="David" w:hAnsi="Georgia"/>
          <w:sz w:val="18"/>
          <w:szCs w:val="20"/>
          <w:rtl/>
        </w:rPr>
        <w:t>עבודה קהילתית (</w:t>
      </w:r>
      <w:proofErr w:type="spellStart"/>
      <w:r w:rsidRPr="00477056">
        <w:rPr>
          <w:rFonts w:ascii="Georgia" w:eastAsia="David" w:hAnsi="Georgia"/>
          <w:sz w:val="18"/>
          <w:szCs w:val="20"/>
          <w:rtl/>
        </w:rPr>
        <w:t>הרדל-זרייק</w:t>
      </w:r>
      <w:proofErr w:type="spellEnd"/>
      <w:r w:rsidRPr="00477056">
        <w:rPr>
          <w:rFonts w:ascii="Georgia" w:eastAsia="David" w:hAnsi="Georgia"/>
          <w:sz w:val="18"/>
          <w:szCs w:val="20"/>
          <w:rtl/>
        </w:rPr>
        <w:t xml:space="preserve"> </w:t>
      </w:r>
      <w:proofErr w:type="spellStart"/>
      <w:r w:rsidRPr="00477056">
        <w:rPr>
          <w:rFonts w:ascii="Georgia" w:eastAsia="David" w:hAnsi="Georgia"/>
          <w:sz w:val="18"/>
          <w:szCs w:val="20"/>
          <w:rtl/>
        </w:rPr>
        <w:t>ובליט</w:t>
      </w:r>
      <w:proofErr w:type="spellEnd"/>
      <w:r w:rsidRPr="00477056">
        <w:rPr>
          <w:rFonts w:ascii="Georgia" w:eastAsia="David" w:hAnsi="Georgia"/>
          <w:sz w:val="18"/>
          <w:szCs w:val="20"/>
          <w:rtl/>
        </w:rPr>
        <w:t xml:space="preserve">-כהן, 2018) ואבהות (ג'מאל-עבוד </w:t>
      </w:r>
      <w:proofErr w:type="spellStart"/>
      <w:r w:rsidRPr="00477056">
        <w:rPr>
          <w:rFonts w:ascii="Georgia" w:eastAsia="David" w:hAnsi="Georgia"/>
          <w:sz w:val="18"/>
          <w:szCs w:val="20"/>
          <w:rtl/>
        </w:rPr>
        <w:t>ובליט</w:t>
      </w:r>
      <w:proofErr w:type="spellEnd"/>
      <w:r w:rsidRPr="00477056">
        <w:rPr>
          <w:rFonts w:ascii="Georgia" w:eastAsia="David" w:hAnsi="Georgia"/>
          <w:sz w:val="18"/>
          <w:szCs w:val="20"/>
          <w:rtl/>
        </w:rPr>
        <w:t>-כהן</w:t>
      </w:r>
      <w:proofErr w:type="gramEnd"/>
      <w:r w:rsidRPr="00477056">
        <w:rPr>
          <w:rFonts w:ascii="Georgia" w:eastAsia="David" w:hAnsi="Georgia"/>
          <w:sz w:val="18"/>
          <w:szCs w:val="20"/>
          <w:rtl/>
        </w:rPr>
        <w:t xml:space="preserve">, 2019; </w:t>
      </w:r>
      <w:r w:rsidRPr="00477056">
        <w:rPr>
          <w:rFonts w:ascii="Georgia" w:eastAsia="David" w:hAnsi="Georgia"/>
          <w:sz w:val="18"/>
          <w:szCs w:val="20"/>
          <w:cs/>
        </w:rPr>
        <w:t>‎</w:t>
      </w:r>
      <w:r w:rsidRPr="00477056">
        <w:rPr>
          <w:rFonts w:ascii="Georgia" w:hAnsi="Georgia"/>
          <w:sz w:val="18"/>
          <w:szCs w:val="20"/>
        </w:rPr>
        <w:t>Buchbinder &amp; Jammal-Abboud, 2012</w:t>
      </w:r>
      <w:r w:rsidRPr="00477056">
        <w:rPr>
          <w:rFonts w:ascii="Georgia" w:eastAsia="David" w:hAnsi="Georgia"/>
          <w:sz w:val="18"/>
          <w:szCs w:val="20"/>
          <w:rtl/>
        </w:rPr>
        <w:t xml:space="preserve">). </w:t>
      </w:r>
    </w:p>
    <w:p w14:paraId="40E40889"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תרומה נוספת היא לגוף הידע התאורטי בנושא רגישות תרבותית ותאוריות ביקורתיות בעבודה סוציאלית. בהקשר זה, המחקר אינו קורא לבטל את הצורך בהכרת תרבותם של הפונים ובהתאמת המענים למאפיינים תרבותיים; אולם הוא קורא לבחינה קפדנית של מה שאנו נוהגים לכנות </w:t>
      </w:r>
      <w:r w:rsidRPr="00477056">
        <w:rPr>
          <w:rFonts w:ascii="Georgia" w:hAnsi="Georgia"/>
          <w:b/>
          <w:bCs/>
          <w:sz w:val="18"/>
          <w:szCs w:val="20"/>
          <w:rtl/>
        </w:rPr>
        <w:t>תרבות</w:t>
      </w:r>
      <w:r w:rsidRPr="00477056">
        <w:rPr>
          <w:rFonts w:ascii="Georgia" w:hAnsi="Georgia"/>
          <w:sz w:val="18"/>
          <w:szCs w:val="20"/>
          <w:rtl/>
        </w:rPr>
        <w:t xml:space="preserve">, כדי להימנע מתפיסה </w:t>
      </w:r>
      <w:proofErr w:type="spellStart"/>
      <w:r w:rsidRPr="00477056">
        <w:rPr>
          <w:rFonts w:ascii="Georgia" w:hAnsi="Georgia"/>
          <w:sz w:val="18"/>
          <w:szCs w:val="20"/>
          <w:rtl/>
        </w:rPr>
        <w:t>מהותנית</w:t>
      </w:r>
      <w:proofErr w:type="spellEnd"/>
      <w:r w:rsidRPr="00477056">
        <w:rPr>
          <w:rFonts w:ascii="Georgia" w:hAnsi="Georgia"/>
          <w:sz w:val="18"/>
          <w:szCs w:val="20"/>
          <w:rtl/>
        </w:rPr>
        <w:t xml:space="preserve"> ומשטיחה של ערכים ונורמות שאינם הגמוניים. עוד קורא המחקר לעובדות סוציאליות לשכלל את מיומנותן בזיהוי ההקשרים החברתיים של הפליה ואי-שוויון, ובהתייחסות להשפעתם של אלה על הפונים. </w:t>
      </w:r>
    </w:p>
    <w:p w14:paraId="0728469D"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עוד תרומה של המחקר טמונה בהצגה של תמונה מורכבת של החברה הערבית. למעשה, הוא מציג בחינה חדשנית של האופנים שבהם הצטלבות מצבים חברתיים מבניים של דיכוי, אי-שוויון והפליה באה לידי ביטוי בפרקטיקה של עובדות סוציאליות. </w:t>
      </w:r>
    </w:p>
    <w:p w14:paraId="2F29BC85" w14:textId="77777777" w:rsid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לבסוף, המחקר פותח פתח לכיווני פעולה עתידיים, בעיקר בכיוון של מעורבות של עובדות סוציאליות בשינוי מדיניות. </w:t>
      </w:r>
    </w:p>
    <w:p w14:paraId="5CE4C51B" w14:textId="77777777" w:rsidR="0007555E" w:rsidRPr="00477056" w:rsidRDefault="0007555E" w:rsidP="0007555E">
      <w:pPr>
        <w:spacing w:line="280" w:lineRule="exact"/>
        <w:jc w:val="both"/>
        <w:rPr>
          <w:rFonts w:ascii="Georgia" w:hAnsi="Georgia"/>
          <w:sz w:val="18"/>
          <w:szCs w:val="20"/>
          <w:rtl/>
        </w:rPr>
      </w:pPr>
    </w:p>
    <w:p w14:paraId="6B200389" w14:textId="15AC0D1D" w:rsidR="00477056" w:rsidRPr="00477056" w:rsidRDefault="00477056" w:rsidP="00477056">
      <w:pPr>
        <w:pStyle w:val="KOT5"/>
        <w:spacing w:after="0"/>
        <w:ind w:right="0"/>
        <w:outlineLvl w:val="2"/>
        <w:rPr>
          <w:rFonts w:cs="Guttman Aharoni"/>
          <w:color w:val="BA2A16"/>
          <w:rtl/>
        </w:rPr>
      </w:pPr>
      <w:r w:rsidRPr="00477056">
        <w:rPr>
          <w:rFonts w:cs="Guttman Aharoni"/>
          <w:color w:val="BA2A16"/>
          <w:rtl/>
        </w:rPr>
        <w:t xml:space="preserve">מסקנות והמלצות להמשך </w:t>
      </w:r>
    </w:p>
    <w:p w14:paraId="4634844C" w14:textId="77777777" w:rsidR="00477056" w:rsidRPr="00477056" w:rsidRDefault="00477056" w:rsidP="00477056">
      <w:pPr>
        <w:spacing w:after="180" w:line="280" w:lineRule="exact"/>
        <w:jc w:val="both"/>
        <w:rPr>
          <w:rFonts w:ascii="Georgia" w:eastAsia="Calibri" w:hAnsi="Georgia"/>
          <w:sz w:val="18"/>
          <w:szCs w:val="20"/>
          <w:rtl/>
        </w:rPr>
      </w:pPr>
      <w:r w:rsidRPr="00477056">
        <w:rPr>
          <w:rFonts w:ascii="Georgia" w:eastAsia="Calibri" w:hAnsi="Georgia"/>
          <w:sz w:val="18"/>
          <w:szCs w:val="20"/>
          <w:rtl/>
        </w:rPr>
        <w:t xml:space="preserve">במחקר הנוכחי זיהינו קשר ברור בין החסמים המבניים הניצבים בפני החברה הערבית לבין האתגרים הייחודיים של העובדות הסוציאליות המטפלות בה. נראה כי יש מקום לסייע לעובדות הסוציאליות לפתח מודעות להשפעתם של הדרה וקשיים מבניים על התנהלותם של פונים מהחברה הערבית. סוגיה זו דורשת חשיבה ופיתוח שמאמר זה אינו עוסק בהם. זאת </w:t>
      </w:r>
      <w:r w:rsidRPr="00477056">
        <w:rPr>
          <w:rFonts w:ascii="Georgia" w:eastAsia="Calibri" w:hAnsi="Georgia"/>
          <w:sz w:val="18"/>
          <w:szCs w:val="20"/>
          <w:rtl/>
        </w:rPr>
        <w:lastRenderedPageBreak/>
        <w:t xml:space="preserve">ועוד, בשל החסמים המבניים הרבים הפוגעים בחברה הערבית, נראה כי הטמעה של </w:t>
      </w:r>
      <w:proofErr w:type="spellStart"/>
      <w:r w:rsidRPr="00477056">
        <w:rPr>
          <w:rFonts w:ascii="Georgia" w:eastAsia="Calibri" w:hAnsi="Georgia"/>
          <w:sz w:val="18"/>
          <w:szCs w:val="20"/>
          <w:rtl/>
        </w:rPr>
        <w:t>פרקטיקת</w:t>
      </w:r>
      <w:proofErr w:type="spellEnd"/>
      <w:r w:rsidRPr="00477056">
        <w:rPr>
          <w:rFonts w:ascii="Georgia" w:eastAsia="Calibri" w:hAnsi="Georgia"/>
          <w:sz w:val="18"/>
          <w:szCs w:val="20"/>
          <w:rtl/>
        </w:rPr>
        <w:t xml:space="preserve"> מדיניות בעבודה השוטפת של לשכות הרווחה עם אוכלוסייה ערבית בעוני עשויה לסייע בקידום של שינויים חברתיים ובהסרת חסמים.</w:t>
      </w:r>
    </w:p>
    <w:p w14:paraId="67C4363E" w14:textId="77777777" w:rsidR="00477056" w:rsidRPr="00477056" w:rsidRDefault="00477056" w:rsidP="00477056">
      <w:pPr>
        <w:spacing w:after="180" w:line="280" w:lineRule="exact"/>
        <w:jc w:val="both"/>
        <w:rPr>
          <w:rFonts w:ascii="Georgia" w:eastAsia="Calibri" w:hAnsi="Georgia"/>
          <w:sz w:val="18"/>
          <w:szCs w:val="20"/>
          <w:rtl/>
        </w:rPr>
      </w:pPr>
      <w:r w:rsidRPr="00477056">
        <w:rPr>
          <w:rFonts w:ascii="Georgia" w:eastAsia="Calibri" w:hAnsi="Georgia"/>
          <w:sz w:val="18"/>
          <w:szCs w:val="20"/>
          <w:rtl/>
        </w:rPr>
        <w:t xml:space="preserve">המחקר הנוכחי נגע בסוגיית הקשר שבין האופי הפטריארכלי של משפחות בעוני בחברה הערבית לבין החסמים המבניים שהחברה הערבית סובלת מהם מחד גיסא, והשינויים התרבותיים המתחוללים בחברה זו מאידך גיסא. כדי לעמוד על טיב הקשרים בין הגורמים הללו נדרשים מחקרי המשך. </w:t>
      </w:r>
    </w:p>
    <w:p w14:paraId="630C7407" w14:textId="77777777" w:rsidR="00493C94" w:rsidRPr="004F6698" w:rsidRDefault="00493C94" w:rsidP="00493C94">
      <w:pPr>
        <w:spacing w:line="280" w:lineRule="exact"/>
        <w:jc w:val="both"/>
        <w:rPr>
          <w:rFonts w:ascii="Georgia" w:hAnsi="Georgia"/>
          <w:sz w:val="18"/>
          <w:szCs w:val="20"/>
          <w:rtl/>
        </w:rPr>
      </w:pPr>
    </w:p>
    <w:p w14:paraId="6FCC1399" w14:textId="77777777" w:rsidR="00493C94" w:rsidRPr="004F6698" w:rsidRDefault="00493C94" w:rsidP="00493C94">
      <w:pPr>
        <w:spacing w:line="280" w:lineRule="exact"/>
        <w:jc w:val="both"/>
        <w:rPr>
          <w:rFonts w:ascii="Georgia" w:hAnsi="Georgia"/>
          <w:sz w:val="18"/>
          <w:szCs w:val="20"/>
          <w:rtl/>
        </w:rPr>
      </w:pPr>
    </w:p>
    <w:p w14:paraId="5CC8C02B" w14:textId="7E9AE296" w:rsidR="00477056" w:rsidRPr="00477056" w:rsidRDefault="00477056" w:rsidP="00477056">
      <w:pPr>
        <w:pStyle w:val="KOT4"/>
        <w:spacing w:after="0"/>
        <w:ind w:left="397" w:right="0" w:hanging="397"/>
        <w:rPr>
          <w:rFonts w:cs="Guttman Aharoni"/>
          <w:color w:val="2A8E8C"/>
          <w:sz w:val="32"/>
          <w:szCs w:val="32"/>
          <w:rtl/>
        </w:rPr>
      </w:pPr>
      <w:r w:rsidRPr="00477056">
        <w:rPr>
          <w:rFonts w:cs="Guttman Aharoni"/>
          <w:color w:val="2A8E8C"/>
          <w:sz w:val="32"/>
          <w:szCs w:val="32"/>
          <w:rtl/>
        </w:rPr>
        <w:t xml:space="preserve">מקורות </w:t>
      </w:r>
    </w:p>
    <w:p w14:paraId="1C8117E7" w14:textId="77777777" w:rsidR="00477056" w:rsidRPr="00477056" w:rsidRDefault="00477056" w:rsidP="00493C94">
      <w:pPr>
        <w:pStyle w:val="13"/>
        <w:bidi/>
        <w:spacing w:after="120" w:line="240" w:lineRule="exact"/>
        <w:ind w:left="397" w:hanging="397"/>
        <w:jc w:val="both"/>
        <w:rPr>
          <w:rFonts w:ascii="Georgia" w:eastAsia="David" w:hAnsi="Georgia" w:cs="David"/>
          <w:sz w:val="18"/>
          <w:szCs w:val="20"/>
          <w:rtl/>
        </w:rPr>
      </w:pPr>
      <w:r w:rsidRPr="00477056">
        <w:rPr>
          <w:rFonts w:ascii="Georgia" w:eastAsia="David" w:hAnsi="Georgia" w:cs="David"/>
          <w:sz w:val="18"/>
          <w:szCs w:val="20"/>
          <w:rtl/>
        </w:rPr>
        <w:t>אבו-</w:t>
      </w:r>
      <w:proofErr w:type="spellStart"/>
      <w:r w:rsidRPr="00477056">
        <w:rPr>
          <w:rFonts w:ascii="Georgia" w:eastAsia="David" w:hAnsi="Georgia" w:cs="David"/>
          <w:sz w:val="18"/>
          <w:szCs w:val="20"/>
          <w:rtl/>
        </w:rPr>
        <w:t>טביך</w:t>
      </w:r>
      <w:proofErr w:type="spellEnd"/>
      <w:r w:rsidRPr="00477056">
        <w:rPr>
          <w:rFonts w:ascii="Georgia" w:eastAsia="David" w:hAnsi="Georgia" w:cs="David"/>
          <w:sz w:val="18"/>
          <w:szCs w:val="20"/>
          <w:rtl/>
        </w:rPr>
        <w:t xml:space="preserve">, ל' (2009). על זכויות לאומיות קולקטיביות, שוויון אזרחי וזכויות נשים: נשים פלסטיניות בישראל ושלילת זכותן לבחור את מקום מגוריהן. </w:t>
      </w:r>
      <w:r w:rsidRPr="00477056">
        <w:rPr>
          <w:rFonts w:ascii="Georgia" w:eastAsia="David" w:hAnsi="Georgia" w:cs="David"/>
          <w:b/>
          <w:bCs/>
          <w:sz w:val="18"/>
          <w:szCs w:val="20"/>
          <w:rtl/>
        </w:rPr>
        <w:t>תיאוריה וביקורת</w:t>
      </w:r>
      <w:r w:rsidRPr="00477056">
        <w:rPr>
          <w:rFonts w:ascii="Georgia" w:eastAsia="David" w:hAnsi="Georgia" w:cs="David"/>
          <w:sz w:val="18"/>
          <w:szCs w:val="20"/>
          <w:rtl/>
        </w:rPr>
        <w:t>,</w:t>
      </w:r>
      <w:r w:rsidRPr="00477056">
        <w:rPr>
          <w:rFonts w:ascii="Georgia" w:eastAsia="David" w:hAnsi="Georgia" w:cs="David"/>
          <w:b/>
          <w:bCs/>
          <w:sz w:val="18"/>
          <w:szCs w:val="20"/>
          <w:rtl/>
        </w:rPr>
        <w:t xml:space="preserve"> 34</w:t>
      </w:r>
      <w:r w:rsidRPr="00477056">
        <w:rPr>
          <w:rFonts w:ascii="Georgia" w:eastAsia="David" w:hAnsi="Georgia" w:cs="David"/>
          <w:sz w:val="18"/>
          <w:szCs w:val="20"/>
          <w:rtl/>
        </w:rPr>
        <w:t>, 43</w:t>
      </w:r>
      <w:r w:rsidRPr="00477056">
        <w:rPr>
          <w:rFonts w:ascii="Georgia" w:eastAsia="David" w:hAnsi="Georgia" w:cs="David"/>
          <w:sz w:val="18"/>
          <w:szCs w:val="20"/>
        </w:rPr>
        <w:t>–</w:t>
      </w:r>
      <w:r w:rsidRPr="00477056">
        <w:rPr>
          <w:rFonts w:ascii="Georgia" w:eastAsia="David" w:hAnsi="Georgia" w:cs="David"/>
          <w:sz w:val="18"/>
          <w:szCs w:val="20"/>
          <w:rtl/>
        </w:rPr>
        <w:t>70.</w:t>
      </w:r>
    </w:p>
    <w:p w14:paraId="1F7EAA13"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t xml:space="preserve">אבו </w:t>
      </w:r>
      <w:proofErr w:type="spellStart"/>
      <w:r w:rsidRPr="00477056">
        <w:rPr>
          <w:rFonts w:ascii="Georgia" w:hAnsi="Georgia"/>
          <w:sz w:val="18"/>
          <w:szCs w:val="20"/>
          <w:rtl/>
        </w:rPr>
        <w:t>עסבה</w:t>
      </w:r>
      <w:proofErr w:type="spellEnd"/>
      <w:r w:rsidRPr="00477056">
        <w:rPr>
          <w:rFonts w:ascii="Georgia" w:hAnsi="Georgia"/>
          <w:sz w:val="18"/>
          <w:szCs w:val="20"/>
          <w:rtl/>
        </w:rPr>
        <w:t xml:space="preserve">, ח' (2010). </w:t>
      </w:r>
      <w:r w:rsidRPr="00477056">
        <w:rPr>
          <w:rFonts w:ascii="Georgia" w:hAnsi="Georgia"/>
          <w:b/>
          <w:bCs/>
          <w:sz w:val="18"/>
          <w:szCs w:val="20"/>
          <w:rtl/>
        </w:rPr>
        <w:t>תמונת מצב: מחלקות הרווחה הערביות (סקר צרכים)</w:t>
      </w:r>
      <w:r w:rsidRPr="00477056">
        <w:rPr>
          <w:rFonts w:ascii="Georgia" w:hAnsi="Georgia"/>
          <w:sz w:val="18"/>
          <w:szCs w:val="20"/>
          <w:rtl/>
        </w:rPr>
        <w:t xml:space="preserve">. מכון </w:t>
      </w:r>
      <w:proofErr w:type="spellStart"/>
      <w:r w:rsidRPr="00477056">
        <w:rPr>
          <w:rFonts w:ascii="Georgia" w:hAnsi="Georgia"/>
          <w:sz w:val="18"/>
          <w:szCs w:val="20"/>
          <w:rtl/>
        </w:rPr>
        <w:t>מסאר</w:t>
      </w:r>
      <w:proofErr w:type="spellEnd"/>
      <w:r w:rsidRPr="00477056">
        <w:rPr>
          <w:rFonts w:ascii="Georgia" w:hAnsi="Georgia"/>
          <w:sz w:val="18"/>
          <w:szCs w:val="20"/>
          <w:rtl/>
        </w:rPr>
        <w:t xml:space="preserve"> למחקר, תכנון וסיוע חברתי.</w:t>
      </w:r>
    </w:p>
    <w:p w14:paraId="594F545F" w14:textId="77777777" w:rsidR="00477056" w:rsidRPr="00477056" w:rsidRDefault="00477056" w:rsidP="00493C94">
      <w:pPr>
        <w:pStyle w:val="13"/>
        <w:bidi/>
        <w:spacing w:after="120" w:line="240" w:lineRule="exact"/>
        <w:ind w:left="397" w:hanging="397"/>
        <w:jc w:val="both"/>
        <w:rPr>
          <w:rStyle w:val="CommentReference"/>
          <w:rFonts w:ascii="Georgia" w:eastAsia="Times New Roman" w:hAnsi="Georgia" w:cs="David"/>
          <w:color w:val="000000"/>
          <w:sz w:val="18"/>
          <w:szCs w:val="20"/>
          <w:rtl/>
        </w:rPr>
      </w:pPr>
      <w:r w:rsidRPr="00477056">
        <w:rPr>
          <w:rFonts w:ascii="Georgia" w:eastAsia="David" w:hAnsi="Georgia" w:cs="David"/>
          <w:sz w:val="18"/>
          <w:szCs w:val="20"/>
          <w:rtl/>
        </w:rPr>
        <w:t xml:space="preserve">אבו-רביעה, ר' (2022). </w:t>
      </w:r>
      <w:r w:rsidRPr="00477056">
        <w:rPr>
          <w:rFonts w:ascii="Georgia" w:eastAsia="David" w:hAnsi="Georgia" w:cs="David"/>
          <w:b/>
          <w:bCs/>
          <w:sz w:val="18"/>
          <w:szCs w:val="20"/>
          <w:rtl/>
        </w:rPr>
        <w:t>בתוך החוק, מחוץ לצדק: פוליגמיה, אזרחות ממוגדרת וקולוניאליזם במשפט הישראלי</w:t>
      </w:r>
      <w:r w:rsidRPr="00477056">
        <w:rPr>
          <w:rFonts w:ascii="Georgia" w:eastAsia="David" w:hAnsi="Georgia" w:cs="David"/>
          <w:sz w:val="18"/>
          <w:szCs w:val="20"/>
          <w:rtl/>
        </w:rPr>
        <w:t>. מגדרים.</w:t>
      </w:r>
    </w:p>
    <w:p w14:paraId="5364A690"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t>אבו-רביעה-</w:t>
      </w:r>
      <w:proofErr w:type="spellStart"/>
      <w:r w:rsidRPr="00477056">
        <w:rPr>
          <w:rFonts w:ascii="Georgia" w:hAnsi="Georgia"/>
          <w:sz w:val="18"/>
          <w:szCs w:val="20"/>
          <w:rtl/>
        </w:rPr>
        <w:t>קווידר</w:t>
      </w:r>
      <w:proofErr w:type="spellEnd"/>
      <w:r w:rsidRPr="00477056">
        <w:rPr>
          <w:rFonts w:ascii="Georgia" w:hAnsi="Georgia"/>
          <w:sz w:val="18"/>
          <w:szCs w:val="20"/>
          <w:rtl/>
        </w:rPr>
        <w:t>, ס' (2010). התמודדות של נשים בדוויות משכילות עם אהבה אסורה, נישואים וזוגיות. בתוך ס' אבו-רביעה-</w:t>
      </w:r>
      <w:proofErr w:type="spellStart"/>
      <w:r w:rsidRPr="00477056">
        <w:rPr>
          <w:rFonts w:ascii="Georgia" w:hAnsi="Georgia"/>
          <w:sz w:val="18"/>
          <w:szCs w:val="20"/>
          <w:rtl/>
        </w:rPr>
        <w:t>קווידר</w:t>
      </w:r>
      <w:proofErr w:type="spellEnd"/>
      <w:r w:rsidRPr="00477056">
        <w:rPr>
          <w:rFonts w:ascii="Georgia" w:hAnsi="Georgia"/>
          <w:sz w:val="18"/>
          <w:szCs w:val="20"/>
          <w:rtl/>
        </w:rPr>
        <w:t xml:space="preserve"> ונ' וינר-לוי (עורכות), </w:t>
      </w:r>
      <w:r w:rsidRPr="00477056">
        <w:rPr>
          <w:rFonts w:ascii="Georgia" w:hAnsi="Georgia"/>
          <w:b/>
          <w:bCs/>
          <w:sz w:val="18"/>
          <w:szCs w:val="20"/>
          <w:rtl/>
        </w:rPr>
        <w:t>נשים פלסטיניות בישראל: זהות, יחסי כוח והתמודדות</w:t>
      </w:r>
      <w:r w:rsidRPr="00477056">
        <w:rPr>
          <w:rFonts w:ascii="Georgia" w:hAnsi="Georgia"/>
          <w:i/>
          <w:iCs/>
          <w:sz w:val="18"/>
          <w:szCs w:val="20"/>
          <w:rtl/>
        </w:rPr>
        <w:t xml:space="preserve"> </w:t>
      </w:r>
      <w:r w:rsidRPr="00477056">
        <w:rPr>
          <w:rFonts w:ascii="Georgia" w:hAnsi="Georgia"/>
          <w:sz w:val="18"/>
          <w:szCs w:val="20"/>
          <w:rtl/>
        </w:rPr>
        <w:t xml:space="preserve">(עמ' 115–128). מכון </w:t>
      </w:r>
      <w:proofErr w:type="spellStart"/>
      <w:r w:rsidRPr="00477056">
        <w:rPr>
          <w:rFonts w:ascii="Georgia" w:hAnsi="Georgia"/>
          <w:sz w:val="18"/>
          <w:szCs w:val="20"/>
          <w:rtl/>
        </w:rPr>
        <w:t>ון</w:t>
      </w:r>
      <w:proofErr w:type="spellEnd"/>
      <w:r w:rsidRPr="00477056">
        <w:rPr>
          <w:rFonts w:ascii="Georgia" w:hAnsi="Georgia"/>
          <w:sz w:val="18"/>
          <w:szCs w:val="20"/>
          <w:rtl/>
        </w:rPr>
        <w:t xml:space="preserve"> ליר; הקיבוץ המאוחד.</w:t>
      </w:r>
    </w:p>
    <w:p w14:paraId="5756CB49" w14:textId="77777777" w:rsidR="00477056" w:rsidRPr="00477056" w:rsidRDefault="00477056" w:rsidP="00493C94">
      <w:pPr>
        <w:pStyle w:val="13"/>
        <w:bidi/>
        <w:spacing w:after="120" w:line="240" w:lineRule="exact"/>
        <w:ind w:left="397" w:hanging="397"/>
        <w:jc w:val="both"/>
        <w:rPr>
          <w:rFonts w:ascii="Georgia" w:hAnsi="Georgia" w:cs="David"/>
          <w:sz w:val="18"/>
          <w:szCs w:val="20"/>
        </w:rPr>
      </w:pPr>
      <w:r w:rsidRPr="00477056">
        <w:rPr>
          <w:rFonts w:ascii="Georgia" w:hAnsi="Georgia" w:cs="David"/>
          <w:sz w:val="18"/>
          <w:szCs w:val="20"/>
          <w:rtl/>
        </w:rPr>
        <w:t>אבו-רביעה-</w:t>
      </w:r>
      <w:proofErr w:type="spellStart"/>
      <w:r w:rsidRPr="00477056">
        <w:rPr>
          <w:rFonts w:ascii="Georgia" w:hAnsi="Georgia" w:cs="David"/>
          <w:sz w:val="18"/>
          <w:szCs w:val="20"/>
          <w:rtl/>
        </w:rPr>
        <w:t>קווידר</w:t>
      </w:r>
      <w:proofErr w:type="spellEnd"/>
      <w:r w:rsidRPr="00477056">
        <w:rPr>
          <w:rFonts w:ascii="Georgia" w:hAnsi="Georgia" w:cs="David"/>
          <w:sz w:val="18"/>
          <w:szCs w:val="20"/>
          <w:rtl/>
        </w:rPr>
        <w:t>, ס' ווינר-לוי, נ' (2010). מבוא: נשים פלסטיניות בישראל: זהות, יחסי כוח והתמודדות. בתוך ס' אבו רביעה-</w:t>
      </w:r>
      <w:proofErr w:type="spellStart"/>
      <w:r w:rsidRPr="00477056">
        <w:rPr>
          <w:rFonts w:ascii="Georgia" w:hAnsi="Georgia" w:cs="David"/>
          <w:sz w:val="18"/>
          <w:szCs w:val="20"/>
          <w:rtl/>
        </w:rPr>
        <w:t>קווידר</w:t>
      </w:r>
      <w:proofErr w:type="spellEnd"/>
      <w:r w:rsidRPr="00477056">
        <w:rPr>
          <w:rFonts w:ascii="Georgia" w:hAnsi="Georgia" w:cs="David"/>
          <w:sz w:val="18"/>
          <w:szCs w:val="20"/>
          <w:rtl/>
        </w:rPr>
        <w:t xml:space="preserve"> ונ' וינר-לוי (עורכות), </w:t>
      </w:r>
      <w:r w:rsidRPr="00477056">
        <w:rPr>
          <w:rFonts w:ascii="Georgia" w:hAnsi="Georgia" w:cs="David"/>
          <w:b/>
          <w:bCs/>
          <w:sz w:val="18"/>
          <w:szCs w:val="20"/>
          <w:rtl/>
        </w:rPr>
        <w:t>נשים פלסטיניות בישראל: זהות, יחסי כוח והתמודדות</w:t>
      </w:r>
      <w:r w:rsidRPr="00477056">
        <w:rPr>
          <w:rFonts w:ascii="Georgia" w:hAnsi="Georgia" w:cs="David"/>
          <w:i/>
          <w:iCs/>
          <w:sz w:val="18"/>
          <w:szCs w:val="20"/>
          <w:rtl/>
        </w:rPr>
        <w:t xml:space="preserve"> </w:t>
      </w:r>
      <w:r w:rsidRPr="00477056">
        <w:rPr>
          <w:rFonts w:ascii="Georgia" w:hAnsi="Georgia" w:cs="David"/>
          <w:sz w:val="18"/>
          <w:szCs w:val="20"/>
          <w:rtl/>
        </w:rPr>
        <w:t>(עמ' 7</w:t>
      </w:r>
      <w:r w:rsidRPr="00477056">
        <w:rPr>
          <w:rFonts w:ascii="Georgia" w:hAnsi="Georgia" w:cs="David"/>
          <w:sz w:val="18"/>
          <w:szCs w:val="20"/>
        </w:rPr>
        <w:t>–</w:t>
      </w:r>
      <w:r w:rsidRPr="00477056">
        <w:rPr>
          <w:rFonts w:ascii="Georgia" w:hAnsi="Georgia" w:cs="David"/>
          <w:sz w:val="18"/>
          <w:szCs w:val="20"/>
          <w:rtl/>
        </w:rPr>
        <w:t xml:space="preserve">24). מכון </w:t>
      </w:r>
      <w:proofErr w:type="spellStart"/>
      <w:r w:rsidRPr="00477056">
        <w:rPr>
          <w:rFonts w:ascii="Georgia" w:hAnsi="Georgia" w:cs="David"/>
          <w:sz w:val="18"/>
          <w:szCs w:val="20"/>
          <w:rtl/>
        </w:rPr>
        <w:t>ון</w:t>
      </w:r>
      <w:proofErr w:type="spellEnd"/>
      <w:r w:rsidRPr="00477056">
        <w:rPr>
          <w:rFonts w:ascii="Georgia" w:hAnsi="Georgia" w:cs="David"/>
          <w:sz w:val="18"/>
          <w:szCs w:val="20"/>
          <w:rtl/>
        </w:rPr>
        <w:t xml:space="preserve"> ליר; הקיבוץ המאוחד.</w:t>
      </w:r>
    </w:p>
    <w:p w14:paraId="37C19BB8"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אנדבלד</w:t>
      </w:r>
      <w:proofErr w:type="spellEnd"/>
      <w:r w:rsidRPr="00477056">
        <w:rPr>
          <w:rFonts w:ascii="Georgia" w:hAnsi="Georgia"/>
          <w:sz w:val="18"/>
          <w:szCs w:val="20"/>
          <w:rtl/>
        </w:rPr>
        <w:t xml:space="preserve">, מ' ודהן, מ' (2019). חידת העלייה בשיעור העוני של משפחות ערביות. </w:t>
      </w:r>
      <w:r w:rsidRPr="00477056">
        <w:rPr>
          <w:rFonts w:ascii="Georgia" w:hAnsi="Georgia"/>
          <w:b/>
          <w:bCs/>
          <w:sz w:val="18"/>
          <w:szCs w:val="20"/>
          <w:rtl/>
        </w:rPr>
        <w:t>ביטחון סוציאלי</w:t>
      </w:r>
      <w:r w:rsidRPr="00477056">
        <w:rPr>
          <w:rFonts w:ascii="Georgia" w:hAnsi="Georgia"/>
          <w:sz w:val="18"/>
          <w:szCs w:val="20"/>
          <w:rtl/>
        </w:rPr>
        <w:t xml:space="preserve">, </w:t>
      </w:r>
      <w:r w:rsidRPr="00477056">
        <w:rPr>
          <w:rFonts w:ascii="Georgia" w:hAnsi="Georgia"/>
          <w:b/>
          <w:bCs/>
          <w:sz w:val="18"/>
          <w:szCs w:val="20"/>
          <w:rtl/>
        </w:rPr>
        <w:t>107</w:t>
      </w:r>
      <w:r w:rsidRPr="00477056">
        <w:rPr>
          <w:rFonts w:ascii="Georgia" w:hAnsi="Georgia"/>
          <w:sz w:val="18"/>
          <w:szCs w:val="20"/>
          <w:rtl/>
        </w:rPr>
        <w:t>, 25</w:t>
      </w:r>
      <w:r w:rsidRPr="00477056">
        <w:rPr>
          <w:rFonts w:ascii="Georgia" w:hAnsi="Georgia"/>
          <w:sz w:val="18"/>
          <w:szCs w:val="20"/>
        </w:rPr>
        <w:t>–</w:t>
      </w:r>
      <w:r w:rsidRPr="00477056">
        <w:rPr>
          <w:rFonts w:ascii="Georgia" w:hAnsi="Georgia"/>
          <w:sz w:val="18"/>
          <w:szCs w:val="20"/>
          <w:rtl/>
        </w:rPr>
        <w:t>57.</w:t>
      </w:r>
    </w:p>
    <w:p w14:paraId="197FA069"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אנדבלד</w:t>
      </w:r>
      <w:proofErr w:type="spellEnd"/>
      <w:r w:rsidRPr="00477056">
        <w:rPr>
          <w:rFonts w:ascii="Georgia" w:hAnsi="Georgia"/>
          <w:sz w:val="18"/>
          <w:szCs w:val="20"/>
          <w:rtl/>
        </w:rPr>
        <w:t xml:space="preserve">, מ', </w:t>
      </w:r>
      <w:proofErr w:type="spellStart"/>
      <w:r w:rsidRPr="00477056">
        <w:rPr>
          <w:rFonts w:ascii="Georgia" w:hAnsi="Georgia"/>
          <w:sz w:val="18"/>
          <w:szCs w:val="20"/>
          <w:rtl/>
        </w:rPr>
        <w:t>כראדי</w:t>
      </w:r>
      <w:proofErr w:type="spellEnd"/>
      <w:r w:rsidRPr="00477056">
        <w:rPr>
          <w:rFonts w:ascii="Georgia" w:hAnsi="Georgia"/>
          <w:sz w:val="18"/>
          <w:szCs w:val="20"/>
          <w:rtl/>
        </w:rPr>
        <w:t xml:space="preserve">, ל', פינס, ר' </w:t>
      </w:r>
      <w:proofErr w:type="spellStart"/>
      <w:r w:rsidRPr="00477056">
        <w:rPr>
          <w:rFonts w:ascii="Georgia" w:hAnsi="Georgia"/>
          <w:sz w:val="18"/>
          <w:szCs w:val="20"/>
          <w:rtl/>
        </w:rPr>
        <w:t>וקסיר</w:t>
      </w:r>
      <w:proofErr w:type="spellEnd"/>
      <w:r w:rsidRPr="00477056">
        <w:rPr>
          <w:rFonts w:ascii="Georgia" w:hAnsi="Georgia"/>
          <w:sz w:val="18"/>
          <w:szCs w:val="20"/>
          <w:rtl/>
        </w:rPr>
        <w:t xml:space="preserve">, נ' (2022). </w:t>
      </w:r>
      <w:r w:rsidRPr="00477056">
        <w:rPr>
          <w:rFonts w:ascii="Georgia" w:hAnsi="Georgia"/>
          <w:b/>
          <w:bCs/>
          <w:sz w:val="18"/>
          <w:szCs w:val="20"/>
          <w:rtl/>
        </w:rPr>
        <w:t xml:space="preserve">ממדי העוני </w:t>
      </w:r>
      <w:proofErr w:type="spellStart"/>
      <w:r w:rsidRPr="00477056">
        <w:rPr>
          <w:rFonts w:ascii="Georgia" w:hAnsi="Georgia"/>
          <w:b/>
          <w:bCs/>
          <w:sz w:val="18"/>
          <w:szCs w:val="20"/>
          <w:rtl/>
        </w:rPr>
        <w:t>והאי־שוויון</w:t>
      </w:r>
      <w:proofErr w:type="spellEnd"/>
      <w:r w:rsidRPr="00477056">
        <w:rPr>
          <w:rFonts w:ascii="Georgia" w:hAnsi="Georgia"/>
          <w:b/>
          <w:bCs/>
          <w:sz w:val="18"/>
          <w:szCs w:val="20"/>
          <w:rtl/>
        </w:rPr>
        <w:t xml:space="preserve"> בהכנסות 2021 לפי נתונים מנהליים</w:t>
      </w:r>
      <w:r w:rsidRPr="00477056">
        <w:rPr>
          <w:rFonts w:ascii="Georgia" w:hAnsi="Georgia"/>
          <w:sz w:val="18"/>
          <w:szCs w:val="20"/>
          <w:rtl/>
        </w:rPr>
        <w:t>. המוסד לביטוח לאומי.</w:t>
      </w:r>
    </w:p>
    <w:p w14:paraId="5039A952"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בוכבינדר</w:t>
      </w:r>
      <w:proofErr w:type="spellEnd"/>
      <w:r w:rsidRPr="00477056">
        <w:rPr>
          <w:rFonts w:ascii="Georgia" w:hAnsi="Georgia"/>
          <w:sz w:val="18"/>
          <w:szCs w:val="20"/>
          <w:rtl/>
        </w:rPr>
        <w:t xml:space="preserve">, א' ואסעד, ס' (2000). דילמות אתיות של עובדים סוציאליים המטפלים באלימות נגד נשים בחברה הערבית. </w:t>
      </w:r>
      <w:r w:rsidRPr="00477056">
        <w:rPr>
          <w:rFonts w:ascii="Georgia" w:hAnsi="Georgia"/>
          <w:b/>
          <w:bCs/>
          <w:sz w:val="18"/>
          <w:szCs w:val="20"/>
          <w:rtl/>
        </w:rPr>
        <w:t>חברה ורווחה</w:t>
      </w:r>
      <w:r w:rsidRPr="00477056">
        <w:rPr>
          <w:rFonts w:ascii="Georgia" w:hAnsi="Georgia"/>
          <w:sz w:val="18"/>
          <w:szCs w:val="20"/>
          <w:rtl/>
        </w:rPr>
        <w:t>,</w:t>
      </w:r>
      <w:r w:rsidRPr="00477056">
        <w:rPr>
          <w:rFonts w:ascii="Georgia" w:hAnsi="Georgia"/>
          <w:b/>
          <w:bCs/>
          <w:sz w:val="18"/>
          <w:szCs w:val="20"/>
          <w:rtl/>
        </w:rPr>
        <w:t xml:space="preserve"> כ</w:t>
      </w:r>
      <w:r w:rsidRPr="00477056">
        <w:rPr>
          <w:rFonts w:ascii="Georgia" w:hAnsi="Georgia"/>
          <w:sz w:val="18"/>
          <w:szCs w:val="20"/>
          <w:rtl/>
        </w:rPr>
        <w:t>, 67</w:t>
      </w:r>
      <w:r w:rsidRPr="00477056">
        <w:rPr>
          <w:rFonts w:ascii="Georgia" w:hAnsi="Georgia"/>
          <w:sz w:val="18"/>
          <w:szCs w:val="20"/>
        </w:rPr>
        <w:t>–</w:t>
      </w:r>
      <w:r w:rsidRPr="00477056">
        <w:rPr>
          <w:rFonts w:ascii="Georgia" w:hAnsi="Georgia"/>
          <w:sz w:val="18"/>
          <w:szCs w:val="20"/>
          <w:rtl/>
        </w:rPr>
        <w:t>81.</w:t>
      </w:r>
    </w:p>
    <w:p w14:paraId="4F218C13"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ג'ברין</w:t>
      </w:r>
      <w:proofErr w:type="spellEnd"/>
      <w:r w:rsidRPr="00477056">
        <w:rPr>
          <w:rFonts w:ascii="Georgia" w:hAnsi="Georgia"/>
          <w:sz w:val="18"/>
          <w:szCs w:val="20"/>
          <w:rtl/>
        </w:rPr>
        <w:t xml:space="preserve">, י', איסמעיל, ש', חלבי, ר', כתאנה, ח', </w:t>
      </w:r>
      <w:proofErr w:type="spellStart"/>
      <w:r w:rsidRPr="00477056">
        <w:rPr>
          <w:rFonts w:ascii="Georgia" w:hAnsi="Georgia"/>
          <w:sz w:val="18"/>
          <w:szCs w:val="20"/>
          <w:rtl/>
        </w:rPr>
        <w:t>סהלה</w:t>
      </w:r>
      <w:proofErr w:type="spellEnd"/>
      <w:r w:rsidRPr="00477056">
        <w:rPr>
          <w:rFonts w:ascii="Georgia" w:hAnsi="Georgia"/>
          <w:sz w:val="18"/>
          <w:szCs w:val="20"/>
          <w:rtl/>
        </w:rPr>
        <w:t>, א', סעדי, ס', ואחרים (2010).</w:t>
      </w:r>
      <w:r w:rsidRPr="00477056">
        <w:rPr>
          <w:rFonts w:ascii="Georgia" w:hAnsi="Georgia"/>
          <w:b/>
          <w:bCs/>
          <w:sz w:val="18"/>
          <w:szCs w:val="20"/>
          <w:rtl/>
        </w:rPr>
        <w:t xml:space="preserve"> תעסוקת ערבים בישראל: האתגר של הכלכלה הישראלית</w:t>
      </w:r>
      <w:r w:rsidRPr="00477056">
        <w:rPr>
          <w:rFonts w:ascii="Georgia" w:hAnsi="Georgia"/>
          <w:sz w:val="18"/>
          <w:szCs w:val="20"/>
          <w:rtl/>
        </w:rPr>
        <w:t xml:space="preserve">. המכון הישראלי לדמוקרטיה. </w:t>
      </w:r>
    </w:p>
    <w:p w14:paraId="55079436"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t xml:space="preserve">גל, ג', </w:t>
      </w:r>
      <w:proofErr w:type="spellStart"/>
      <w:r w:rsidRPr="00477056">
        <w:rPr>
          <w:rFonts w:ascii="Georgia" w:hAnsi="Georgia"/>
          <w:sz w:val="18"/>
          <w:szCs w:val="20"/>
          <w:rtl/>
        </w:rPr>
        <w:t>קרומר</w:t>
      </w:r>
      <w:proofErr w:type="spellEnd"/>
      <w:r w:rsidRPr="00477056">
        <w:rPr>
          <w:rFonts w:ascii="Georgia" w:hAnsi="Georgia"/>
          <w:sz w:val="18"/>
          <w:szCs w:val="20"/>
          <w:rtl/>
        </w:rPr>
        <w:t xml:space="preserve">-נבו, מ', </w:t>
      </w:r>
      <w:proofErr w:type="spellStart"/>
      <w:r w:rsidRPr="00477056">
        <w:rPr>
          <w:rFonts w:ascii="Georgia" w:hAnsi="Georgia"/>
          <w:sz w:val="18"/>
          <w:szCs w:val="20"/>
          <w:rtl/>
        </w:rPr>
        <w:t>מדהלה</w:t>
      </w:r>
      <w:proofErr w:type="spellEnd"/>
      <w:r w:rsidRPr="00477056">
        <w:rPr>
          <w:rFonts w:ascii="Georgia" w:hAnsi="Georgia"/>
          <w:sz w:val="18"/>
          <w:szCs w:val="20"/>
          <w:rtl/>
        </w:rPr>
        <w:t xml:space="preserve">, ש' וינאי, ג' (2019). </w:t>
      </w:r>
      <w:r w:rsidRPr="00477056">
        <w:rPr>
          <w:rFonts w:ascii="Georgia" w:hAnsi="Georgia"/>
          <w:b/>
          <w:bCs/>
          <w:sz w:val="18"/>
          <w:szCs w:val="20"/>
          <w:rtl/>
        </w:rPr>
        <w:t>סיוע חומרי לאנשים החיים בעוני: סקירה היסטורית ומגמות נוכחיות</w:t>
      </w:r>
      <w:r w:rsidRPr="00477056">
        <w:rPr>
          <w:rFonts w:ascii="Georgia" w:hAnsi="Georgia"/>
          <w:sz w:val="18"/>
          <w:szCs w:val="20"/>
          <w:rtl/>
        </w:rPr>
        <w:t xml:space="preserve">. מרכז </w:t>
      </w:r>
      <w:proofErr w:type="spellStart"/>
      <w:r w:rsidRPr="00477056">
        <w:rPr>
          <w:rFonts w:ascii="Georgia" w:hAnsi="Georgia"/>
          <w:sz w:val="18"/>
          <w:szCs w:val="20"/>
          <w:rtl/>
        </w:rPr>
        <w:t>טאוב</w:t>
      </w:r>
      <w:proofErr w:type="spellEnd"/>
      <w:r w:rsidRPr="00477056">
        <w:rPr>
          <w:rFonts w:ascii="Georgia" w:hAnsi="Georgia"/>
          <w:sz w:val="18"/>
          <w:szCs w:val="20"/>
          <w:rtl/>
        </w:rPr>
        <w:t xml:space="preserve"> לחקר המדיניות החברתית בישראל.</w:t>
      </w:r>
    </w:p>
    <w:p w14:paraId="1ECDB742"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lastRenderedPageBreak/>
        <w:t xml:space="preserve">ג'מאל-עבוד, ר' </w:t>
      </w:r>
      <w:proofErr w:type="spellStart"/>
      <w:r w:rsidRPr="00477056">
        <w:rPr>
          <w:rFonts w:ascii="Georgia" w:hAnsi="Georgia"/>
          <w:sz w:val="18"/>
          <w:szCs w:val="20"/>
          <w:rtl/>
        </w:rPr>
        <w:t>ובליט</w:t>
      </w:r>
      <w:proofErr w:type="spellEnd"/>
      <w:r w:rsidRPr="00477056">
        <w:rPr>
          <w:rFonts w:ascii="Georgia" w:hAnsi="Georgia"/>
          <w:sz w:val="18"/>
          <w:szCs w:val="20"/>
          <w:rtl/>
        </w:rPr>
        <w:t xml:space="preserve">-כהן, ע' (2019). חוויותיהן של עובדות סוציאליות ערביות המטפלות באבות במרכזֵי ילדים-הורים ערבים בישראל. </w:t>
      </w:r>
      <w:r w:rsidRPr="00477056">
        <w:rPr>
          <w:rFonts w:ascii="Georgia" w:hAnsi="Georgia"/>
          <w:b/>
          <w:bCs/>
          <w:sz w:val="18"/>
          <w:szCs w:val="20"/>
          <w:rtl/>
        </w:rPr>
        <w:t>ביטחון סוציאלי</w:t>
      </w:r>
      <w:r w:rsidRPr="00477056">
        <w:rPr>
          <w:rFonts w:ascii="Georgia" w:hAnsi="Georgia"/>
          <w:sz w:val="18"/>
          <w:szCs w:val="20"/>
          <w:rtl/>
        </w:rPr>
        <w:t>,</w:t>
      </w:r>
      <w:r w:rsidRPr="00477056">
        <w:rPr>
          <w:rFonts w:ascii="Georgia" w:hAnsi="Georgia"/>
          <w:b/>
          <w:bCs/>
          <w:sz w:val="18"/>
          <w:szCs w:val="20"/>
          <w:rtl/>
        </w:rPr>
        <w:t xml:space="preserve"> 107</w:t>
      </w:r>
      <w:r w:rsidRPr="00477056">
        <w:rPr>
          <w:rFonts w:ascii="Georgia" w:hAnsi="Georgia"/>
          <w:sz w:val="18"/>
          <w:szCs w:val="20"/>
          <w:rtl/>
        </w:rPr>
        <w:t>, 109</w:t>
      </w:r>
      <w:r w:rsidRPr="00477056">
        <w:rPr>
          <w:rFonts w:ascii="Georgia" w:hAnsi="Georgia"/>
          <w:sz w:val="18"/>
          <w:szCs w:val="20"/>
        </w:rPr>
        <w:t>–</w:t>
      </w:r>
      <w:r w:rsidRPr="00477056">
        <w:rPr>
          <w:rFonts w:ascii="Georgia" w:hAnsi="Georgia"/>
          <w:sz w:val="18"/>
          <w:szCs w:val="20"/>
          <w:rtl/>
        </w:rPr>
        <w:t>130.</w:t>
      </w:r>
    </w:p>
    <w:p w14:paraId="54FC1812"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ג׳ראיסי</w:t>
      </w:r>
      <w:proofErr w:type="spellEnd"/>
      <w:r w:rsidRPr="00477056">
        <w:rPr>
          <w:rFonts w:ascii="Georgia" w:hAnsi="Georgia"/>
          <w:sz w:val="18"/>
          <w:szCs w:val="20"/>
          <w:rtl/>
        </w:rPr>
        <w:t xml:space="preserve">, ע' (2012). טיפול פסיכו-סוציאלי בחברה הערבית. בתוך מ' חובב, א' </w:t>
      </w:r>
      <w:proofErr w:type="spellStart"/>
      <w:r w:rsidRPr="00477056">
        <w:rPr>
          <w:rFonts w:ascii="Georgia" w:hAnsi="Georgia"/>
          <w:sz w:val="18"/>
          <w:szCs w:val="20"/>
          <w:rtl/>
        </w:rPr>
        <w:t>לונטל</w:t>
      </w:r>
      <w:proofErr w:type="spellEnd"/>
      <w:r w:rsidRPr="00477056">
        <w:rPr>
          <w:rFonts w:ascii="Georgia" w:hAnsi="Georgia"/>
          <w:sz w:val="18"/>
          <w:szCs w:val="20"/>
          <w:rtl/>
        </w:rPr>
        <w:t xml:space="preserve"> וי' קטן (עורכים), </w:t>
      </w:r>
      <w:r w:rsidRPr="00477056">
        <w:rPr>
          <w:rFonts w:ascii="Georgia" w:hAnsi="Georgia"/>
          <w:b/>
          <w:bCs/>
          <w:sz w:val="18"/>
          <w:szCs w:val="20"/>
          <w:rtl/>
        </w:rPr>
        <w:t xml:space="preserve">עבודה סוציאלית בישראל </w:t>
      </w:r>
      <w:r w:rsidRPr="00477056">
        <w:rPr>
          <w:rFonts w:ascii="Georgia" w:hAnsi="Georgia"/>
          <w:sz w:val="18"/>
          <w:szCs w:val="20"/>
          <w:rtl/>
        </w:rPr>
        <w:t>(עמ׳ 527</w:t>
      </w:r>
      <w:r w:rsidRPr="00477056">
        <w:rPr>
          <w:rFonts w:ascii="Georgia" w:hAnsi="Georgia"/>
          <w:sz w:val="18"/>
          <w:szCs w:val="20"/>
        </w:rPr>
        <w:t>–</w:t>
      </w:r>
      <w:r w:rsidRPr="00477056">
        <w:rPr>
          <w:rFonts w:ascii="Georgia" w:hAnsi="Georgia"/>
          <w:sz w:val="18"/>
          <w:szCs w:val="20"/>
          <w:rtl/>
        </w:rPr>
        <w:t>559). הקיבוץ המאוחד.</w:t>
      </w:r>
    </w:p>
    <w:p w14:paraId="6634541C"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דעייף</w:t>
      </w:r>
      <w:proofErr w:type="spellEnd"/>
      <w:r w:rsidRPr="00477056">
        <w:rPr>
          <w:rFonts w:ascii="Georgia" w:hAnsi="Georgia"/>
          <w:sz w:val="18"/>
          <w:szCs w:val="20"/>
          <w:rtl/>
        </w:rPr>
        <w:t xml:space="preserve">, א' (2007). </w:t>
      </w:r>
      <w:r w:rsidRPr="00477056">
        <w:rPr>
          <w:rFonts w:ascii="Georgia" w:hAnsi="Georgia"/>
          <w:b/>
          <w:bCs/>
          <w:sz w:val="18"/>
          <w:szCs w:val="20"/>
          <w:rtl/>
        </w:rPr>
        <w:t>נשים פלסטיניות תחת עול כיבוש לאומי וחברתי</w:t>
      </w:r>
      <w:r w:rsidRPr="00477056">
        <w:rPr>
          <w:rFonts w:ascii="Georgia" w:hAnsi="Georgia"/>
          <w:sz w:val="18"/>
          <w:szCs w:val="20"/>
          <w:rtl/>
        </w:rPr>
        <w:t>. פרדס.</w:t>
      </w:r>
    </w:p>
    <w:p w14:paraId="008BB3C2"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הרדל-זרייק</w:t>
      </w:r>
      <w:proofErr w:type="spellEnd"/>
      <w:r w:rsidRPr="00477056">
        <w:rPr>
          <w:rFonts w:ascii="Georgia" w:hAnsi="Georgia"/>
          <w:sz w:val="18"/>
          <w:szCs w:val="20"/>
          <w:rtl/>
        </w:rPr>
        <w:t xml:space="preserve">, ה' </w:t>
      </w:r>
      <w:proofErr w:type="spellStart"/>
      <w:r w:rsidRPr="00477056">
        <w:rPr>
          <w:rFonts w:ascii="Georgia" w:hAnsi="Georgia"/>
          <w:sz w:val="18"/>
          <w:szCs w:val="20"/>
          <w:rtl/>
        </w:rPr>
        <w:t>ובליט</w:t>
      </w:r>
      <w:proofErr w:type="spellEnd"/>
      <w:r w:rsidRPr="00477056">
        <w:rPr>
          <w:rFonts w:ascii="Georgia" w:hAnsi="Georgia"/>
          <w:sz w:val="18"/>
          <w:szCs w:val="20"/>
          <w:rtl/>
        </w:rPr>
        <w:t xml:space="preserve">-כהן, ע' (2018). עובדות סוציאליות קהילתיות פלסטיניות העובדות בישראל: חוויות ואתגרים. </w:t>
      </w:r>
      <w:r w:rsidRPr="00477056">
        <w:rPr>
          <w:rFonts w:ascii="Georgia" w:hAnsi="Georgia"/>
          <w:b/>
          <w:bCs/>
          <w:sz w:val="18"/>
          <w:szCs w:val="20"/>
          <w:rtl/>
        </w:rPr>
        <w:t>ביטחון סוציאלי</w:t>
      </w:r>
      <w:r w:rsidRPr="00477056">
        <w:rPr>
          <w:rFonts w:ascii="Georgia" w:hAnsi="Georgia"/>
          <w:sz w:val="18"/>
          <w:szCs w:val="20"/>
          <w:rtl/>
        </w:rPr>
        <w:t xml:space="preserve">, </w:t>
      </w:r>
      <w:r w:rsidRPr="00477056">
        <w:rPr>
          <w:rFonts w:ascii="Georgia" w:hAnsi="Georgia"/>
          <w:b/>
          <w:bCs/>
          <w:sz w:val="18"/>
          <w:szCs w:val="20"/>
          <w:rtl/>
        </w:rPr>
        <w:t>104</w:t>
      </w:r>
      <w:r w:rsidRPr="00477056">
        <w:rPr>
          <w:rFonts w:ascii="Georgia" w:hAnsi="Georgia"/>
          <w:sz w:val="18"/>
          <w:szCs w:val="20"/>
          <w:rtl/>
        </w:rPr>
        <w:t>, 163</w:t>
      </w:r>
      <w:r w:rsidRPr="00477056">
        <w:rPr>
          <w:rFonts w:ascii="Georgia" w:hAnsi="Georgia"/>
          <w:sz w:val="18"/>
          <w:szCs w:val="20"/>
        </w:rPr>
        <w:t>–</w:t>
      </w:r>
      <w:r w:rsidRPr="00477056">
        <w:rPr>
          <w:rFonts w:ascii="Georgia" w:hAnsi="Georgia"/>
          <w:sz w:val="18"/>
          <w:szCs w:val="20"/>
          <w:rtl/>
        </w:rPr>
        <w:t>191.</w:t>
      </w:r>
    </w:p>
    <w:p w14:paraId="0A7BB714"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זועבי</w:t>
      </w:r>
      <w:proofErr w:type="spellEnd"/>
      <w:r w:rsidRPr="00477056">
        <w:rPr>
          <w:rFonts w:ascii="Georgia" w:hAnsi="Georgia"/>
          <w:sz w:val="18"/>
          <w:szCs w:val="20"/>
          <w:rtl/>
        </w:rPr>
        <w:t xml:space="preserve">, ח' ואנסון, י' (2017). ההתמקחות המרובה עם הפטריארכיה: פריון וילודה בעיני נשים ערביות אקדמאיות בישראל. </w:t>
      </w:r>
      <w:r w:rsidRPr="00477056">
        <w:rPr>
          <w:rFonts w:ascii="Georgia" w:hAnsi="Georgia"/>
          <w:b/>
          <w:bCs/>
          <w:sz w:val="18"/>
          <w:szCs w:val="20"/>
          <w:rtl/>
        </w:rPr>
        <w:t>סוציולוגיה ישראלית</w:t>
      </w:r>
      <w:r w:rsidRPr="00477056">
        <w:rPr>
          <w:rFonts w:ascii="Georgia" w:hAnsi="Georgia"/>
          <w:sz w:val="18"/>
          <w:szCs w:val="20"/>
          <w:rtl/>
        </w:rPr>
        <w:t>,</w:t>
      </w:r>
      <w:r w:rsidRPr="00477056">
        <w:rPr>
          <w:rFonts w:ascii="Georgia" w:hAnsi="Georgia"/>
          <w:b/>
          <w:bCs/>
          <w:sz w:val="18"/>
          <w:szCs w:val="20"/>
          <w:rtl/>
        </w:rPr>
        <w:t xml:space="preserve"> 19</w:t>
      </w:r>
      <w:r w:rsidRPr="00477056">
        <w:rPr>
          <w:rFonts w:ascii="Georgia" w:hAnsi="Georgia"/>
          <w:sz w:val="18"/>
          <w:szCs w:val="20"/>
          <w:rtl/>
        </w:rPr>
        <w:t>, 67</w:t>
      </w:r>
      <w:r w:rsidRPr="00477056">
        <w:rPr>
          <w:rFonts w:ascii="Georgia" w:hAnsi="Georgia"/>
          <w:sz w:val="18"/>
          <w:szCs w:val="20"/>
        </w:rPr>
        <w:t>–</w:t>
      </w:r>
      <w:r w:rsidRPr="00477056">
        <w:rPr>
          <w:rFonts w:ascii="Georgia" w:hAnsi="Georgia"/>
          <w:sz w:val="18"/>
          <w:szCs w:val="20"/>
          <w:rtl/>
        </w:rPr>
        <w:t>91.</w:t>
      </w:r>
    </w:p>
    <w:p w14:paraId="472B2414"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זועבי</w:t>
      </w:r>
      <w:proofErr w:type="spellEnd"/>
      <w:r w:rsidRPr="00477056">
        <w:rPr>
          <w:rFonts w:ascii="Georgia" w:hAnsi="Georgia"/>
          <w:sz w:val="18"/>
          <w:szCs w:val="20"/>
          <w:rtl/>
        </w:rPr>
        <w:t xml:space="preserve">, ח' וסויה, ר' (2015). זהות תרבותית ואסטרטגיות התערבות של עובדים </w:t>
      </w:r>
      <w:proofErr w:type="spellStart"/>
      <w:r w:rsidRPr="00477056">
        <w:rPr>
          <w:rFonts w:ascii="Georgia" w:hAnsi="Georgia"/>
          <w:sz w:val="18"/>
          <w:szCs w:val="20"/>
          <w:rtl/>
        </w:rPr>
        <w:t>סוציאיליים</w:t>
      </w:r>
      <w:proofErr w:type="spellEnd"/>
      <w:r w:rsidRPr="00477056">
        <w:rPr>
          <w:rFonts w:ascii="Georgia" w:hAnsi="Georgia"/>
          <w:sz w:val="18"/>
          <w:szCs w:val="20"/>
          <w:rtl/>
        </w:rPr>
        <w:t xml:space="preserve"> ערבים בישראל. </w:t>
      </w:r>
      <w:r w:rsidRPr="00477056">
        <w:rPr>
          <w:rFonts w:ascii="Georgia" w:hAnsi="Georgia"/>
          <w:b/>
          <w:bCs/>
          <w:sz w:val="18"/>
          <w:szCs w:val="20"/>
          <w:rtl/>
        </w:rPr>
        <w:t>חברה ורווחה</w:t>
      </w:r>
      <w:r w:rsidRPr="00477056">
        <w:rPr>
          <w:rFonts w:ascii="Georgia" w:hAnsi="Georgia"/>
          <w:sz w:val="18"/>
          <w:szCs w:val="20"/>
          <w:rtl/>
        </w:rPr>
        <w:t>,</w:t>
      </w:r>
      <w:r w:rsidRPr="00477056">
        <w:rPr>
          <w:rFonts w:ascii="Georgia" w:hAnsi="Georgia"/>
          <w:b/>
          <w:bCs/>
          <w:sz w:val="18"/>
          <w:szCs w:val="20"/>
          <w:rtl/>
        </w:rPr>
        <w:t xml:space="preserve"> לה</w:t>
      </w:r>
      <w:r w:rsidRPr="00477056">
        <w:rPr>
          <w:rFonts w:ascii="Georgia" w:hAnsi="Georgia"/>
          <w:sz w:val="18"/>
          <w:szCs w:val="20"/>
          <w:rtl/>
        </w:rPr>
        <w:t>, 397</w:t>
      </w:r>
      <w:r w:rsidRPr="00477056">
        <w:rPr>
          <w:rFonts w:ascii="Georgia" w:hAnsi="Georgia"/>
          <w:sz w:val="18"/>
          <w:szCs w:val="20"/>
        </w:rPr>
        <w:t>–</w:t>
      </w:r>
      <w:r w:rsidRPr="00477056">
        <w:rPr>
          <w:rFonts w:ascii="Georgia" w:hAnsi="Georgia"/>
          <w:sz w:val="18"/>
          <w:szCs w:val="20"/>
          <w:rtl/>
        </w:rPr>
        <w:t>421.</w:t>
      </w:r>
    </w:p>
    <w:p w14:paraId="5D13DFE1"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t>זיו, א' (2012). טראומה עיקשת.</w:t>
      </w:r>
      <w:r w:rsidRPr="00477056">
        <w:rPr>
          <w:rFonts w:ascii="Georgia" w:hAnsi="Georgia"/>
          <w:b/>
          <w:bCs/>
          <w:sz w:val="18"/>
          <w:szCs w:val="20"/>
          <w:rtl/>
        </w:rPr>
        <w:t xml:space="preserve"> מפתח</w:t>
      </w:r>
      <w:r w:rsidRPr="00477056">
        <w:rPr>
          <w:rFonts w:ascii="Georgia" w:hAnsi="Georgia"/>
          <w:sz w:val="18"/>
          <w:szCs w:val="20"/>
          <w:rtl/>
        </w:rPr>
        <w:t>,</w:t>
      </w:r>
      <w:r w:rsidRPr="00477056">
        <w:rPr>
          <w:rFonts w:ascii="Georgia" w:hAnsi="Georgia"/>
          <w:b/>
          <w:bCs/>
          <w:sz w:val="18"/>
          <w:szCs w:val="20"/>
          <w:rtl/>
        </w:rPr>
        <w:t xml:space="preserve"> 5</w:t>
      </w:r>
      <w:r w:rsidRPr="00477056">
        <w:rPr>
          <w:rFonts w:ascii="Georgia" w:hAnsi="Georgia"/>
          <w:sz w:val="18"/>
          <w:szCs w:val="20"/>
          <w:rtl/>
        </w:rPr>
        <w:t>, 55</w:t>
      </w:r>
      <w:r w:rsidRPr="00477056">
        <w:rPr>
          <w:rFonts w:ascii="Georgia" w:hAnsi="Georgia"/>
          <w:sz w:val="18"/>
          <w:szCs w:val="20"/>
        </w:rPr>
        <w:t>–</w:t>
      </w:r>
      <w:r w:rsidRPr="00477056">
        <w:rPr>
          <w:rFonts w:ascii="Georgia" w:hAnsi="Georgia"/>
          <w:sz w:val="18"/>
          <w:szCs w:val="20"/>
          <w:rtl/>
        </w:rPr>
        <w:t>74.</w:t>
      </w:r>
    </w:p>
    <w:p w14:paraId="5E809D58"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t xml:space="preserve">חאג'-יחיא, מ' (1994). המשפחה הערבית בישראל: ערכיה התרבותיים וזיקתם לעבודה סוציאלית. </w:t>
      </w:r>
      <w:r w:rsidRPr="00477056">
        <w:rPr>
          <w:rFonts w:ascii="Georgia" w:hAnsi="Georgia"/>
          <w:b/>
          <w:bCs/>
          <w:sz w:val="18"/>
          <w:szCs w:val="20"/>
          <w:rtl/>
        </w:rPr>
        <w:t>חברה ורווחה,</w:t>
      </w:r>
      <w:r w:rsidRPr="00477056">
        <w:rPr>
          <w:rFonts w:ascii="Georgia" w:hAnsi="Georgia"/>
          <w:sz w:val="18"/>
          <w:szCs w:val="20"/>
          <w:rtl/>
        </w:rPr>
        <w:t xml:space="preserve"> </w:t>
      </w:r>
      <w:r w:rsidRPr="00477056">
        <w:rPr>
          <w:rFonts w:ascii="Georgia" w:hAnsi="Georgia"/>
          <w:b/>
          <w:bCs/>
          <w:sz w:val="18"/>
          <w:szCs w:val="20"/>
          <w:rtl/>
        </w:rPr>
        <w:t>יד</w:t>
      </w:r>
      <w:r w:rsidRPr="00477056">
        <w:rPr>
          <w:rFonts w:ascii="Georgia" w:hAnsi="Georgia"/>
          <w:sz w:val="18"/>
          <w:szCs w:val="20"/>
          <w:rtl/>
        </w:rPr>
        <w:t>, 246</w:t>
      </w:r>
      <w:r w:rsidRPr="00477056">
        <w:rPr>
          <w:rFonts w:ascii="Georgia" w:hAnsi="Georgia"/>
          <w:sz w:val="18"/>
          <w:szCs w:val="20"/>
        </w:rPr>
        <w:t>–</w:t>
      </w:r>
      <w:r w:rsidRPr="00477056">
        <w:rPr>
          <w:rFonts w:ascii="Georgia" w:hAnsi="Georgia"/>
          <w:sz w:val="18"/>
          <w:szCs w:val="20"/>
          <w:rtl/>
        </w:rPr>
        <w:t>264.</w:t>
      </w:r>
    </w:p>
    <w:p w14:paraId="0721144F"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t xml:space="preserve">חאג'-יחיא, מ' וסדן, א' (2007). נשים מוכות בחברות </w:t>
      </w:r>
      <w:proofErr w:type="spellStart"/>
      <w:r w:rsidRPr="00477056">
        <w:rPr>
          <w:rFonts w:ascii="Georgia" w:hAnsi="Georgia"/>
          <w:sz w:val="18"/>
          <w:szCs w:val="20"/>
          <w:rtl/>
        </w:rPr>
        <w:t>קולקטיביסטיות</w:t>
      </w:r>
      <w:proofErr w:type="spellEnd"/>
      <w:r w:rsidRPr="00477056">
        <w:rPr>
          <w:rFonts w:ascii="Georgia" w:hAnsi="Georgia"/>
          <w:sz w:val="18"/>
          <w:szCs w:val="20"/>
          <w:rtl/>
        </w:rPr>
        <w:t xml:space="preserve">: סוגיות בהתערבות ובהעצמה. </w:t>
      </w:r>
      <w:r w:rsidRPr="00477056">
        <w:rPr>
          <w:rFonts w:ascii="Georgia" w:hAnsi="Georgia"/>
          <w:b/>
          <w:bCs/>
          <w:sz w:val="18"/>
          <w:szCs w:val="20"/>
          <w:rtl/>
        </w:rPr>
        <w:t>חברה ורווחה</w:t>
      </w:r>
      <w:r w:rsidRPr="00477056">
        <w:rPr>
          <w:rFonts w:ascii="Georgia" w:hAnsi="Georgia"/>
          <w:sz w:val="18"/>
          <w:szCs w:val="20"/>
          <w:rtl/>
        </w:rPr>
        <w:t xml:space="preserve">, </w:t>
      </w:r>
      <w:proofErr w:type="spellStart"/>
      <w:r w:rsidRPr="00477056">
        <w:rPr>
          <w:rFonts w:ascii="Georgia" w:hAnsi="Georgia"/>
          <w:b/>
          <w:bCs/>
          <w:sz w:val="18"/>
          <w:szCs w:val="20"/>
          <w:rtl/>
        </w:rPr>
        <w:t>כז</w:t>
      </w:r>
      <w:proofErr w:type="spellEnd"/>
      <w:r w:rsidRPr="00477056">
        <w:rPr>
          <w:rFonts w:ascii="Georgia" w:hAnsi="Georgia"/>
          <w:sz w:val="18"/>
          <w:szCs w:val="20"/>
          <w:rtl/>
        </w:rPr>
        <w:t>, 423</w:t>
      </w:r>
      <w:r w:rsidRPr="00477056">
        <w:rPr>
          <w:rFonts w:ascii="Georgia" w:hAnsi="Georgia"/>
          <w:sz w:val="18"/>
          <w:szCs w:val="20"/>
        </w:rPr>
        <w:t>–</w:t>
      </w:r>
      <w:r w:rsidRPr="00477056">
        <w:rPr>
          <w:rFonts w:ascii="Georgia" w:hAnsi="Georgia"/>
          <w:sz w:val="18"/>
          <w:szCs w:val="20"/>
          <w:rtl/>
        </w:rPr>
        <w:t>451.</w:t>
      </w:r>
    </w:p>
    <w:p w14:paraId="1B14DE4A"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חדאד</w:t>
      </w:r>
      <w:proofErr w:type="spellEnd"/>
      <w:r w:rsidRPr="00477056">
        <w:rPr>
          <w:rFonts w:ascii="Georgia" w:hAnsi="Georgia"/>
          <w:sz w:val="18"/>
          <w:szCs w:val="20"/>
          <w:rtl/>
        </w:rPr>
        <w:t xml:space="preserve">-חאג'-יחיא, נ', </w:t>
      </w:r>
      <w:proofErr w:type="spellStart"/>
      <w:r w:rsidRPr="00477056">
        <w:rPr>
          <w:rFonts w:ascii="Georgia" w:hAnsi="Georgia"/>
          <w:sz w:val="18"/>
          <w:szCs w:val="20"/>
          <w:rtl/>
        </w:rPr>
        <w:t>ח'לאילה</w:t>
      </w:r>
      <w:proofErr w:type="spellEnd"/>
      <w:r w:rsidRPr="00477056">
        <w:rPr>
          <w:rFonts w:ascii="Georgia" w:hAnsi="Georgia"/>
          <w:sz w:val="18"/>
          <w:szCs w:val="20"/>
          <w:rtl/>
        </w:rPr>
        <w:t xml:space="preserve">, מ' </w:t>
      </w:r>
      <w:proofErr w:type="spellStart"/>
      <w:r w:rsidRPr="00477056">
        <w:rPr>
          <w:rFonts w:ascii="Georgia" w:hAnsi="Georgia"/>
          <w:sz w:val="18"/>
          <w:szCs w:val="20"/>
          <w:rtl/>
        </w:rPr>
        <w:t>ורודינצקי</w:t>
      </w:r>
      <w:proofErr w:type="spellEnd"/>
      <w:r w:rsidRPr="00477056">
        <w:rPr>
          <w:rFonts w:ascii="Georgia" w:hAnsi="Georgia"/>
          <w:sz w:val="18"/>
          <w:szCs w:val="20"/>
          <w:rtl/>
        </w:rPr>
        <w:t xml:space="preserve"> א' (2021א). </w:t>
      </w:r>
      <w:r w:rsidRPr="00477056">
        <w:rPr>
          <w:rFonts w:ascii="Georgia" w:hAnsi="Georgia"/>
          <w:b/>
          <w:bCs/>
          <w:sz w:val="18"/>
          <w:szCs w:val="20"/>
          <w:rtl/>
        </w:rPr>
        <w:t>שנתון החברה הערבית בישראל</w:t>
      </w:r>
      <w:r w:rsidRPr="00477056">
        <w:rPr>
          <w:rFonts w:ascii="Georgia" w:hAnsi="Georgia"/>
          <w:sz w:val="18"/>
          <w:szCs w:val="20"/>
          <w:rtl/>
          <w:lang w:bidi="ar-SA"/>
        </w:rPr>
        <w:t xml:space="preserve"> </w:t>
      </w:r>
      <w:r w:rsidRPr="00477056">
        <w:rPr>
          <w:rFonts w:ascii="Georgia" w:hAnsi="Georgia" w:cs="Arial" w:hint="cs"/>
          <w:sz w:val="18"/>
          <w:szCs w:val="20"/>
          <w:rtl/>
          <w:lang w:bidi="ar-SA"/>
        </w:rPr>
        <w:t>الكتاب</w:t>
      </w:r>
      <w:r w:rsidRPr="00477056">
        <w:rPr>
          <w:rFonts w:ascii="Georgia" w:hAnsi="Georgia"/>
          <w:sz w:val="18"/>
          <w:szCs w:val="20"/>
          <w:rtl/>
          <w:lang w:bidi="ar-SA"/>
        </w:rPr>
        <w:t xml:space="preserve"> </w:t>
      </w:r>
      <w:r w:rsidRPr="00477056">
        <w:rPr>
          <w:rFonts w:ascii="Georgia" w:hAnsi="Georgia" w:cs="Arial" w:hint="cs"/>
          <w:sz w:val="18"/>
          <w:szCs w:val="20"/>
          <w:rtl/>
          <w:lang w:bidi="ar-SA"/>
        </w:rPr>
        <w:t>السنوي</w:t>
      </w:r>
      <w:r w:rsidRPr="00477056">
        <w:rPr>
          <w:rFonts w:ascii="Georgia" w:hAnsi="Georgia"/>
          <w:sz w:val="18"/>
          <w:szCs w:val="20"/>
          <w:rtl/>
          <w:lang w:bidi="ar-SA"/>
        </w:rPr>
        <w:t xml:space="preserve"> </w:t>
      </w:r>
      <w:r w:rsidRPr="00477056">
        <w:rPr>
          <w:rFonts w:ascii="Georgia" w:hAnsi="Georgia" w:cs="Arial" w:hint="cs"/>
          <w:sz w:val="18"/>
          <w:szCs w:val="20"/>
          <w:rtl/>
          <w:lang w:bidi="ar-SA"/>
        </w:rPr>
        <w:t>للمجتمع</w:t>
      </w:r>
      <w:r w:rsidRPr="00477056">
        <w:rPr>
          <w:rFonts w:ascii="Georgia" w:hAnsi="Georgia"/>
          <w:sz w:val="18"/>
          <w:szCs w:val="20"/>
          <w:rtl/>
          <w:lang w:bidi="ar-SA"/>
        </w:rPr>
        <w:t xml:space="preserve"> </w:t>
      </w:r>
      <w:r w:rsidRPr="00477056">
        <w:rPr>
          <w:rFonts w:ascii="Georgia" w:hAnsi="Georgia" w:cs="Arial" w:hint="cs"/>
          <w:sz w:val="18"/>
          <w:szCs w:val="20"/>
          <w:rtl/>
          <w:lang w:bidi="ar-SA"/>
        </w:rPr>
        <w:t>العربي</w:t>
      </w:r>
      <w:r w:rsidRPr="00477056">
        <w:rPr>
          <w:rFonts w:ascii="Georgia" w:hAnsi="Georgia"/>
          <w:sz w:val="18"/>
          <w:szCs w:val="20"/>
          <w:rtl/>
          <w:lang w:bidi="ar-SA"/>
        </w:rPr>
        <w:t xml:space="preserve"> </w:t>
      </w:r>
      <w:r w:rsidRPr="00477056">
        <w:rPr>
          <w:rFonts w:ascii="Georgia" w:hAnsi="Georgia" w:cs="Arial" w:hint="cs"/>
          <w:sz w:val="18"/>
          <w:szCs w:val="20"/>
          <w:rtl/>
          <w:lang w:bidi="ar-SA"/>
        </w:rPr>
        <w:t>في</w:t>
      </w:r>
      <w:r w:rsidRPr="00477056">
        <w:rPr>
          <w:rFonts w:ascii="Georgia" w:hAnsi="Georgia"/>
          <w:sz w:val="18"/>
          <w:szCs w:val="20"/>
          <w:rtl/>
          <w:lang w:bidi="ar-SA"/>
        </w:rPr>
        <w:t xml:space="preserve"> </w:t>
      </w:r>
      <w:r w:rsidRPr="00477056">
        <w:rPr>
          <w:rFonts w:ascii="Georgia" w:hAnsi="Georgia" w:cs="Arial" w:hint="cs"/>
          <w:sz w:val="18"/>
          <w:szCs w:val="20"/>
          <w:rtl/>
          <w:lang w:bidi="ar-SA"/>
        </w:rPr>
        <w:t>إسرائيل</w:t>
      </w:r>
      <w:r w:rsidRPr="00477056">
        <w:rPr>
          <w:rFonts w:ascii="Georgia" w:hAnsi="Georgia"/>
          <w:sz w:val="18"/>
          <w:szCs w:val="20"/>
          <w:rtl/>
        </w:rPr>
        <w:t xml:space="preserve"> 2021. המכון הישראלי לדמוקרטיה. </w:t>
      </w:r>
    </w:p>
    <w:p w14:paraId="0AA06A38"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חדאד</w:t>
      </w:r>
      <w:proofErr w:type="spellEnd"/>
      <w:r w:rsidRPr="00477056">
        <w:rPr>
          <w:rFonts w:ascii="Georgia" w:hAnsi="Georgia"/>
          <w:sz w:val="18"/>
          <w:szCs w:val="20"/>
          <w:rtl/>
        </w:rPr>
        <w:t xml:space="preserve">-חאג'-יחיא, נ', סייף, א', </w:t>
      </w:r>
      <w:proofErr w:type="spellStart"/>
      <w:r w:rsidRPr="00477056">
        <w:rPr>
          <w:rFonts w:ascii="Georgia" w:hAnsi="Georgia"/>
          <w:sz w:val="18"/>
          <w:szCs w:val="20"/>
          <w:rtl/>
        </w:rPr>
        <w:t>קסיר</w:t>
      </w:r>
      <w:proofErr w:type="spellEnd"/>
      <w:r w:rsidRPr="00477056">
        <w:rPr>
          <w:rFonts w:ascii="Georgia" w:hAnsi="Georgia"/>
          <w:sz w:val="18"/>
          <w:szCs w:val="20"/>
          <w:rtl/>
        </w:rPr>
        <w:t xml:space="preserve">, נ' </w:t>
      </w:r>
      <w:proofErr w:type="spellStart"/>
      <w:r w:rsidRPr="00477056">
        <w:rPr>
          <w:rFonts w:ascii="Georgia" w:hAnsi="Georgia"/>
          <w:sz w:val="18"/>
          <w:szCs w:val="20"/>
          <w:rtl/>
        </w:rPr>
        <w:t>ופרג'ון</w:t>
      </w:r>
      <w:proofErr w:type="spellEnd"/>
      <w:r w:rsidRPr="00477056">
        <w:rPr>
          <w:rFonts w:ascii="Georgia" w:hAnsi="Georgia"/>
          <w:sz w:val="18"/>
          <w:szCs w:val="20"/>
          <w:rtl/>
        </w:rPr>
        <w:t xml:space="preserve">, ב' (2021ב). </w:t>
      </w:r>
      <w:r w:rsidRPr="00477056">
        <w:rPr>
          <w:rFonts w:ascii="Georgia" w:hAnsi="Georgia"/>
          <w:b/>
          <w:bCs/>
          <w:sz w:val="18"/>
          <w:szCs w:val="20"/>
          <w:rtl/>
        </w:rPr>
        <w:t xml:space="preserve">תוכנית אב לקידום תעסוקה בחברה הערבית: חינוך והשכלה בחברה הערבית </w:t>
      </w:r>
      <w:r w:rsidRPr="00477056">
        <w:rPr>
          <w:rFonts w:ascii="Georgia" w:hAnsi="Georgia"/>
          <w:b/>
          <w:bCs/>
          <w:sz w:val="18"/>
          <w:szCs w:val="20"/>
        </w:rPr>
        <w:t>–</w:t>
      </w:r>
      <w:r w:rsidRPr="00477056">
        <w:rPr>
          <w:rFonts w:ascii="Georgia" w:hAnsi="Georgia"/>
          <w:b/>
          <w:bCs/>
          <w:sz w:val="18"/>
          <w:szCs w:val="20"/>
          <w:rtl/>
        </w:rPr>
        <w:t xml:space="preserve"> פערים וניצנים של שינוי</w:t>
      </w:r>
      <w:r w:rsidRPr="00477056">
        <w:rPr>
          <w:rFonts w:ascii="Georgia" w:hAnsi="Georgia"/>
          <w:sz w:val="18"/>
          <w:szCs w:val="20"/>
          <w:rtl/>
        </w:rPr>
        <w:t>. המכון הישראלי לדמוקרטיה.</w:t>
      </w:r>
    </w:p>
    <w:p w14:paraId="471795B3" w14:textId="5A9E164C"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ח'ורי</w:t>
      </w:r>
      <w:proofErr w:type="spellEnd"/>
      <w:r w:rsidRPr="00477056">
        <w:rPr>
          <w:rFonts w:ascii="Georgia" w:hAnsi="Georgia"/>
          <w:sz w:val="18"/>
          <w:szCs w:val="20"/>
          <w:rtl/>
        </w:rPr>
        <w:t xml:space="preserve">, א' (2018). </w:t>
      </w:r>
      <w:r w:rsidRPr="00477056">
        <w:rPr>
          <w:rFonts w:ascii="Georgia" w:hAnsi="Georgia"/>
          <w:b/>
          <w:bCs/>
          <w:sz w:val="18"/>
          <w:szCs w:val="20"/>
          <w:rtl/>
        </w:rPr>
        <w:t xml:space="preserve">אידיאולוגיות </w:t>
      </w:r>
      <w:proofErr w:type="spellStart"/>
      <w:r w:rsidRPr="00477056">
        <w:rPr>
          <w:rFonts w:ascii="Georgia" w:hAnsi="Georgia"/>
          <w:b/>
          <w:bCs/>
          <w:sz w:val="18"/>
          <w:szCs w:val="20"/>
          <w:rtl/>
        </w:rPr>
        <w:t>ופרקטיקות</w:t>
      </w:r>
      <w:proofErr w:type="spellEnd"/>
      <w:r w:rsidRPr="00477056">
        <w:rPr>
          <w:rFonts w:ascii="Georgia" w:hAnsi="Georgia"/>
          <w:b/>
          <w:bCs/>
          <w:sz w:val="18"/>
          <w:szCs w:val="20"/>
          <w:rtl/>
        </w:rPr>
        <w:t xml:space="preserve"> מגדריות שוויוניות בקרב גברים ערבים-פלסטינים בישראל</w:t>
      </w:r>
      <w:r w:rsidRPr="00477056">
        <w:rPr>
          <w:rFonts w:ascii="Georgia" w:hAnsi="Georgia"/>
          <w:sz w:val="18"/>
          <w:szCs w:val="20"/>
          <w:rtl/>
        </w:rPr>
        <w:t xml:space="preserve"> (עבודה לשם קבלת תואר דוקטור לפילוסופיה, אוניברסיטת </w:t>
      </w:r>
      <w:r w:rsidR="00493C94">
        <w:rPr>
          <w:rFonts w:ascii="Georgia" w:hAnsi="Georgia"/>
          <w:sz w:val="18"/>
          <w:szCs w:val="20"/>
          <w:rtl/>
        </w:rPr>
        <w:br/>
      </w:r>
      <w:r w:rsidRPr="00477056">
        <w:rPr>
          <w:rFonts w:ascii="Georgia" w:hAnsi="Georgia"/>
          <w:sz w:val="18"/>
          <w:szCs w:val="20"/>
          <w:rtl/>
        </w:rPr>
        <w:t>בר-אילן).</w:t>
      </w:r>
    </w:p>
    <w:p w14:paraId="6ED6C612"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ח'ורי</w:t>
      </w:r>
      <w:proofErr w:type="spellEnd"/>
      <w:r w:rsidRPr="00477056">
        <w:rPr>
          <w:rFonts w:ascii="Georgia" w:hAnsi="Georgia"/>
          <w:sz w:val="18"/>
          <w:szCs w:val="20"/>
          <w:rtl/>
        </w:rPr>
        <w:t>, א' ובנימין, א' (2021). ריבוי תבניות של אידיאולוגיה מגדרית שוויונית בקרב זוגות ערבים-פלסטינים בישראל</w:t>
      </w:r>
      <w:r w:rsidRPr="00477056">
        <w:rPr>
          <w:rFonts w:ascii="Georgia" w:hAnsi="Georgia"/>
          <w:sz w:val="18"/>
          <w:szCs w:val="20"/>
        </w:rPr>
        <w:t>.</w:t>
      </w:r>
      <w:r w:rsidRPr="00477056">
        <w:rPr>
          <w:rFonts w:ascii="Georgia" w:hAnsi="Georgia"/>
          <w:b/>
          <w:bCs/>
          <w:sz w:val="18"/>
          <w:szCs w:val="20"/>
          <w:rtl/>
        </w:rPr>
        <w:t xml:space="preserve"> סוציולוגיה ישראלית</w:t>
      </w:r>
      <w:r w:rsidRPr="00477056">
        <w:rPr>
          <w:rFonts w:ascii="Georgia" w:hAnsi="Georgia"/>
          <w:sz w:val="18"/>
          <w:szCs w:val="20"/>
          <w:rtl/>
        </w:rPr>
        <w:t xml:space="preserve">, </w:t>
      </w:r>
      <w:proofErr w:type="spellStart"/>
      <w:r w:rsidRPr="00477056">
        <w:rPr>
          <w:rFonts w:ascii="Georgia" w:hAnsi="Georgia"/>
          <w:b/>
          <w:bCs/>
          <w:sz w:val="18"/>
          <w:szCs w:val="20"/>
          <w:rtl/>
        </w:rPr>
        <w:t>כא</w:t>
      </w:r>
      <w:proofErr w:type="spellEnd"/>
      <w:r w:rsidRPr="00477056">
        <w:rPr>
          <w:rFonts w:ascii="Georgia" w:hAnsi="Georgia"/>
          <w:sz w:val="18"/>
          <w:szCs w:val="20"/>
          <w:rtl/>
        </w:rPr>
        <w:t>(2), 101</w:t>
      </w:r>
      <w:r w:rsidRPr="00477056">
        <w:rPr>
          <w:rFonts w:ascii="Georgia" w:hAnsi="Georgia"/>
          <w:sz w:val="18"/>
          <w:szCs w:val="20"/>
        </w:rPr>
        <w:t>–</w:t>
      </w:r>
      <w:r w:rsidRPr="00477056">
        <w:rPr>
          <w:rFonts w:ascii="Georgia" w:hAnsi="Georgia"/>
          <w:sz w:val="18"/>
          <w:szCs w:val="20"/>
          <w:rtl/>
        </w:rPr>
        <w:t xml:space="preserve">122. </w:t>
      </w:r>
    </w:p>
    <w:p w14:paraId="40799CC5"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ח'טאב</w:t>
      </w:r>
      <w:proofErr w:type="spellEnd"/>
      <w:r w:rsidRPr="00477056">
        <w:rPr>
          <w:rFonts w:ascii="Georgia" w:hAnsi="Georgia"/>
          <w:sz w:val="18"/>
          <w:szCs w:val="20"/>
          <w:rtl/>
        </w:rPr>
        <w:t xml:space="preserve">, נ' (2009). "לא קל להיות אישה פלסטינית ערבייה בישראל": קנסות מגדריים, אתניים ודתיים בשוק התעסוקה. בתוך פ' </w:t>
      </w:r>
      <w:proofErr w:type="spellStart"/>
      <w:r w:rsidRPr="00477056">
        <w:rPr>
          <w:rFonts w:ascii="Georgia" w:hAnsi="Georgia"/>
          <w:sz w:val="18"/>
          <w:szCs w:val="20"/>
          <w:rtl/>
        </w:rPr>
        <w:t>עזאיזה</w:t>
      </w:r>
      <w:proofErr w:type="spellEnd"/>
      <w:r w:rsidRPr="00477056">
        <w:rPr>
          <w:rFonts w:ascii="Georgia" w:hAnsi="Georgia"/>
          <w:sz w:val="18"/>
          <w:szCs w:val="20"/>
          <w:rtl/>
        </w:rPr>
        <w:t>, ח' אבו-בקר, ר' הרץ-</w:t>
      </w:r>
      <w:proofErr w:type="spellStart"/>
      <w:r w:rsidRPr="00477056">
        <w:rPr>
          <w:rFonts w:ascii="Georgia" w:hAnsi="Georgia"/>
          <w:sz w:val="18"/>
          <w:szCs w:val="20"/>
          <w:rtl/>
        </w:rPr>
        <w:t>לזרוביץ</w:t>
      </w:r>
      <w:proofErr w:type="spellEnd"/>
      <w:r w:rsidRPr="00477056">
        <w:rPr>
          <w:rFonts w:ascii="Georgia" w:hAnsi="Georgia"/>
          <w:sz w:val="18"/>
          <w:szCs w:val="20"/>
          <w:rtl/>
        </w:rPr>
        <w:t xml:space="preserve"> וא' </w:t>
      </w:r>
      <w:proofErr w:type="spellStart"/>
      <w:r w:rsidRPr="00477056">
        <w:rPr>
          <w:rFonts w:ascii="Georgia" w:hAnsi="Georgia"/>
          <w:sz w:val="18"/>
          <w:szCs w:val="20"/>
          <w:rtl/>
        </w:rPr>
        <w:t>גאנם</w:t>
      </w:r>
      <w:proofErr w:type="spellEnd"/>
      <w:r w:rsidRPr="00477056">
        <w:rPr>
          <w:rFonts w:ascii="Georgia" w:hAnsi="Georgia"/>
          <w:sz w:val="18"/>
          <w:szCs w:val="20"/>
          <w:rtl/>
        </w:rPr>
        <w:t xml:space="preserve"> (עורכים), </w:t>
      </w:r>
      <w:r w:rsidRPr="00477056">
        <w:rPr>
          <w:rFonts w:ascii="Georgia" w:hAnsi="Georgia"/>
          <w:b/>
          <w:bCs/>
          <w:sz w:val="18"/>
          <w:szCs w:val="20"/>
          <w:rtl/>
        </w:rPr>
        <w:t xml:space="preserve">נשים ערביות בישראל: תמונת מצב ומבט לעתיד </w:t>
      </w:r>
      <w:r w:rsidRPr="00477056">
        <w:rPr>
          <w:rFonts w:ascii="Georgia" w:hAnsi="Georgia"/>
          <w:sz w:val="18"/>
          <w:szCs w:val="20"/>
          <w:rtl/>
        </w:rPr>
        <w:t>(עמ' 319</w:t>
      </w:r>
      <w:r w:rsidRPr="00477056">
        <w:rPr>
          <w:rFonts w:ascii="Georgia" w:hAnsi="Georgia"/>
          <w:sz w:val="18"/>
          <w:szCs w:val="20"/>
        </w:rPr>
        <w:t>–</w:t>
      </w:r>
      <w:r w:rsidRPr="00477056">
        <w:rPr>
          <w:rFonts w:ascii="Georgia" w:hAnsi="Georgia"/>
          <w:sz w:val="18"/>
          <w:szCs w:val="20"/>
          <w:rtl/>
        </w:rPr>
        <w:t>336). רמות.</w:t>
      </w:r>
    </w:p>
    <w:p w14:paraId="148011B4"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ח'טאב</w:t>
      </w:r>
      <w:proofErr w:type="spellEnd"/>
      <w:r w:rsidRPr="00477056">
        <w:rPr>
          <w:rFonts w:ascii="Georgia" w:hAnsi="Georgia"/>
          <w:sz w:val="18"/>
          <w:szCs w:val="20"/>
          <w:rtl/>
        </w:rPr>
        <w:t xml:space="preserve">, נ', </w:t>
      </w:r>
      <w:proofErr w:type="spellStart"/>
      <w:r w:rsidRPr="00477056">
        <w:rPr>
          <w:rFonts w:ascii="Georgia" w:hAnsi="Georgia"/>
          <w:sz w:val="18"/>
          <w:szCs w:val="20"/>
          <w:rtl/>
        </w:rPr>
        <w:t>מיעארי</w:t>
      </w:r>
      <w:proofErr w:type="spellEnd"/>
      <w:r w:rsidRPr="00477056">
        <w:rPr>
          <w:rFonts w:ascii="Georgia" w:hAnsi="Georgia"/>
          <w:sz w:val="18"/>
          <w:szCs w:val="20"/>
          <w:rtl/>
        </w:rPr>
        <w:t xml:space="preserve">, ס', קראוס, ו', יונאי, י' </w:t>
      </w:r>
      <w:proofErr w:type="spellStart"/>
      <w:r w:rsidRPr="00477056">
        <w:rPr>
          <w:rFonts w:ascii="Georgia" w:hAnsi="Georgia"/>
          <w:sz w:val="18"/>
          <w:szCs w:val="20"/>
          <w:rtl/>
        </w:rPr>
        <w:t>ולזרוס</w:t>
      </w:r>
      <w:proofErr w:type="spellEnd"/>
      <w:r w:rsidRPr="00477056">
        <w:rPr>
          <w:rFonts w:ascii="Georgia" w:hAnsi="Georgia"/>
          <w:sz w:val="18"/>
          <w:szCs w:val="20"/>
          <w:rtl/>
        </w:rPr>
        <w:t xml:space="preserve">, ע' (2014). </w:t>
      </w:r>
      <w:r w:rsidRPr="00477056">
        <w:rPr>
          <w:rFonts w:ascii="Georgia" w:hAnsi="Georgia"/>
          <w:b/>
          <w:bCs/>
          <w:sz w:val="18"/>
          <w:szCs w:val="20"/>
          <w:rtl/>
        </w:rPr>
        <w:t>האי-שוויון שבשעתוק: פערים בין קבוצות חברתיות בהשפעת הרקע חברתי-כלכלי על הישגים השכלתיים</w:t>
      </w:r>
      <w:r w:rsidRPr="00477056">
        <w:rPr>
          <w:rFonts w:ascii="Georgia" w:hAnsi="Georgia"/>
          <w:sz w:val="18"/>
          <w:szCs w:val="20"/>
          <w:rtl/>
        </w:rPr>
        <w:t>. המכון הישראלי לדמוקרטיה.</w:t>
      </w:r>
    </w:p>
    <w:p w14:paraId="1033DB98"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lastRenderedPageBreak/>
        <w:t xml:space="preserve">חסן, מ' (1999). הפוליטיקה של הכבוד: הפטריארכיה, המדינה ורצח נשים בשם כבוד המשפחה. בתוך ד' יזרעאלי, א' פרידמן, ה' דהאן-כלב, ח' הרצוג, מ' חסן, ח' </w:t>
      </w:r>
      <w:proofErr w:type="spellStart"/>
      <w:r w:rsidRPr="00477056">
        <w:rPr>
          <w:rFonts w:ascii="Georgia" w:hAnsi="Georgia"/>
          <w:sz w:val="18"/>
          <w:szCs w:val="20"/>
          <w:rtl/>
        </w:rPr>
        <w:t>נוה</w:t>
      </w:r>
      <w:proofErr w:type="spellEnd"/>
      <w:r w:rsidRPr="00477056">
        <w:rPr>
          <w:rFonts w:ascii="Georgia" w:hAnsi="Georgia"/>
          <w:sz w:val="18"/>
          <w:szCs w:val="20"/>
          <w:rtl/>
        </w:rPr>
        <w:t xml:space="preserve"> וס' פוגל-</w:t>
      </w:r>
      <w:proofErr w:type="spellStart"/>
      <w:r w:rsidRPr="00477056">
        <w:rPr>
          <w:rFonts w:ascii="Georgia" w:hAnsi="Georgia"/>
          <w:sz w:val="18"/>
          <w:szCs w:val="20"/>
          <w:rtl/>
        </w:rPr>
        <w:t>ביז'אוי</w:t>
      </w:r>
      <w:proofErr w:type="spellEnd"/>
      <w:r w:rsidRPr="00477056">
        <w:rPr>
          <w:rFonts w:ascii="Georgia" w:hAnsi="Georgia"/>
          <w:sz w:val="18"/>
          <w:szCs w:val="20"/>
          <w:rtl/>
        </w:rPr>
        <w:t xml:space="preserve"> (עורכות), </w:t>
      </w:r>
      <w:r w:rsidRPr="00477056">
        <w:rPr>
          <w:rFonts w:ascii="Georgia" w:hAnsi="Georgia"/>
          <w:b/>
          <w:bCs/>
          <w:sz w:val="18"/>
          <w:szCs w:val="20"/>
          <w:rtl/>
        </w:rPr>
        <w:t>מין, מגדר ופוליטיקה</w:t>
      </w:r>
      <w:r w:rsidRPr="00477056">
        <w:rPr>
          <w:rFonts w:ascii="Georgia" w:hAnsi="Georgia"/>
          <w:sz w:val="18"/>
          <w:szCs w:val="20"/>
          <w:rtl/>
        </w:rPr>
        <w:t xml:space="preserve"> (עמ' 267</w:t>
      </w:r>
      <w:r w:rsidRPr="00477056">
        <w:rPr>
          <w:rFonts w:ascii="Georgia" w:hAnsi="Georgia"/>
          <w:sz w:val="18"/>
          <w:szCs w:val="20"/>
        </w:rPr>
        <w:t>–</w:t>
      </w:r>
      <w:r w:rsidRPr="00477056">
        <w:rPr>
          <w:rFonts w:ascii="Georgia" w:hAnsi="Georgia"/>
          <w:sz w:val="18"/>
          <w:szCs w:val="20"/>
          <w:rtl/>
        </w:rPr>
        <w:t>306). הקיבוץ המאוחד.</w:t>
      </w:r>
    </w:p>
    <w:p w14:paraId="307C0859"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t xml:space="preserve">יחיא-יונס, ת' (2007). מגדור הפוליטיקה המקומית: התנהגות אלקטורלית של נשים בבחירות המקומיות בחברה הערבית-פלסטינית בישראל. בתוך ע' </w:t>
      </w:r>
      <w:proofErr w:type="spellStart"/>
      <w:r w:rsidRPr="00477056">
        <w:rPr>
          <w:rFonts w:ascii="Georgia" w:hAnsi="Georgia"/>
          <w:sz w:val="18"/>
          <w:szCs w:val="20"/>
          <w:rtl/>
        </w:rPr>
        <w:t>חידר</w:t>
      </w:r>
      <w:proofErr w:type="spellEnd"/>
      <w:r w:rsidRPr="00477056">
        <w:rPr>
          <w:rFonts w:ascii="Georgia" w:hAnsi="Georgia"/>
          <w:sz w:val="18"/>
          <w:szCs w:val="20"/>
          <w:rtl/>
        </w:rPr>
        <w:t xml:space="preserve"> (עורך), </w:t>
      </w:r>
      <w:r w:rsidRPr="00477056">
        <w:rPr>
          <w:rFonts w:ascii="Georgia" w:hAnsi="Georgia"/>
          <w:b/>
          <w:bCs/>
          <w:sz w:val="18"/>
          <w:szCs w:val="20"/>
          <w:rtl/>
        </w:rPr>
        <w:t xml:space="preserve">שלטון מקומי ושלטון מרכזי והאוכלוסייה הערבית בישראל </w:t>
      </w:r>
      <w:r w:rsidRPr="00477056">
        <w:rPr>
          <w:rFonts w:ascii="Georgia" w:hAnsi="Georgia"/>
          <w:sz w:val="18"/>
          <w:szCs w:val="20"/>
          <w:rtl/>
        </w:rPr>
        <w:t xml:space="preserve">(עמ' 151–186). מכון </w:t>
      </w:r>
      <w:proofErr w:type="spellStart"/>
      <w:r w:rsidRPr="00477056">
        <w:rPr>
          <w:rFonts w:ascii="Georgia" w:hAnsi="Georgia"/>
          <w:sz w:val="18"/>
          <w:szCs w:val="20"/>
          <w:rtl/>
        </w:rPr>
        <w:t>ון</w:t>
      </w:r>
      <w:proofErr w:type="spellEnd"/>
      <w:r w:rsidRPr="00477056">
        <w:rPr>
          <w:rFonts w:ascii="Georgia" w:hAnsi="Georgia"/>
          <w:sz w:val="18"/>
          <w:szCs w:val="20"/>
          <w:rtl/>
        </w:rPr>
        <w:t xml:space="preserve"> ליר.</w:t>
      </w:r>
    </w:p>
    <w:p w14:paraId="215905AA"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eastAsia="David" w:hAnsi="Georgia"/>
          <w:sz w:val="18"/>
          <w:szCs w:val="20"/>
          <w:rtl/>
        </w:rPr>
        <w:t>יכימוביץ</w:t>
      </w:r>
      <w:proofErr w:type="spellEnd"/>
      <w:r w:rsidRPr="00477056">
        <w:rPr>
          <w:rFonts w:ascii="Georgia" w:eastAsia="David" w:hAnsi="Georgia"/>
          <w:sz w:val="18"/>
          <w:szCs w:val="20"/>
          <w:rtl/>
        </w:rPr>
        <w:t xml:space="preserve">-כהן, נ' (2022). </w:t>
      </w:r>
      <w:r w:rsidRPr="00477056">
        <w:rPr>
          <w:rFonts w:ascii="Georgia" w:hAnsi="Georgia"/>
          <w:b/>
          <w:bCs/>
          <w:sz w:val="18"/>
          <w:szCs w:val="20"/>
          <w:rtl/>
        </w:rPr>
        <w:t>ריבוי</w:t>
      </w:r>
      <w:r w:rsidRPr="00477056">
        <w:rPr>
          <w:rFonts w:ascii="Georgia" w:hAnsi="Georgia"/>
          <w:b/>
          <w:bCs/>
          <w:sz w:val="18"/>
          <w:szCs w:val="20"/>
        </w:rPr>
        <w:t xml:space="preserve"> </w:t>
      </w:r>
      <w:r w:rsidRPr="00477056">
        <w:rPr>
          <w:rFonts w:ascii="Georgia" w:hAnsi="Georgia"/>
          <w:b/>
          <w:bCs/>
          <w:sz w:val="18"/>
          <w:szCs w:val="20"/>
          <w:rtl/>
        </w:rPr>
        <w:t xml:space="preserve">נישואין </w:t>
      </w:r>
      <w:r w:rsidRPr="00477056">
        <w:rPr>
          <w:rFonts w:ascii="Georgia" w:hAnsi="Georgia"/>
          <w:b/>
          <w:bCs/>
          <w:sz w:val="18"/>
          <w:szCs w:val="20"/>
        </w:rPr>
        <w:t>)</w:t>
      </w:r>
      <w:r w:rsidRPr="00477056">
        <w:rPr>
          <w:rFonts w:ascii="Georgia" w:hAnsi="Georgia"/>
          <w:b/>
          <w:bCs/>
          <w:sz w:val="18"/>
          <w:szCs w:val="20"/>
          <w:rtl/>
        </w:rPr>
        <w:t>פוליגמיה):</w:t>
      </w:r>
      <w:r w:rsidRPr="00477056">
        <w:rPr>
          <w:rFonts w:ascii="Georgia" w:hAnsi="Georgia"/>
          <w:b/>
          <w:bCs/>
          <w:sz w:val="18"/>
          <w:szCs w:val="20"/>
        </w:rPr>
        <w:t xml:space="preserve"> </w:t>
      </w:r>
      <w:r w:rsidRPr="00477056">
        <w:rPr>
          <w:rFonts w:ascii="Georgia" w:hAnsi="Georgia"/>
          <w:b/>
          <w:bCs/>
          <w:sz w:val="18"/>
          <w:szCs w:val="20"/>
          <w:rtl/>
        </w:rPr>
        <w:t>אכיפה</w:t>
      </w:r>
      <w:r w:rsidRPr="00477056">
        <w:rPr>
          <w:rFonts w:ascii="Georgia" w:hAnsi="Georgia"/>
          <w:b/>
          <w:bCs/>
          <w:sz w:val="18"/>
          <w:szCs w:val="20"/>
        </w:rPr>
        <w:t xml:space="preserve"> </w:t>
      </w:r>
      <w:r w:rsidRPr="00477056">
        <w:rPr>
          <w:rFonts w:ascii="Georgia" w:hAnsi="Georgia"/>
          <w:b/>
          <w:bCs/>
          <w:sz w:val="18"/>
          <w:szCs w:val="20"/>
          <w:rtl/>
        </w:rPr>
        <w:t>ודיווח</w:t>
      </w:r>
      <w:r w:rsidRPr="00477056">
        <w:rPr>
          <w:rFonts w:ascii="Georgia" w:hAnsi="Georgia"/>
          <w:sz w:val="18"/>
          <w:szCs w:val="20"/>
          <w:rtl/>
        </w:rPr>
        <w:t xml:space="preserve">. מרכז המחקר והמידע של הכנסת. </w:t>
      </w:r>
    </w:p>
    <w:p w14:paraId="6F3B2199"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t xml:space="preserve">לוי, ע' (2014). </w:t>
      </w:r>
      <w:r w:rsidRPr="00477056">
        <w:rPr>
          <w:rFonts w:ascii="Georgia" w:hAnsi="Georgia"/>
          <w:b/>
          <w:bCs/>
          <w:sz w:val="18"/>
          <w:szCs w:val="20"/>
          <w:rtl/>
        </w:rPr>
        <w:t xml:space="preserve">תיאור וניתוח ההבדלים בשיעור הירידה בתחולת העוני לפני ואחרי תשלומי העברה </w:t>
      </w:r>
      <w:proofErr w:type="spellStart"/>
      <w:r w:rsidRPr="00477056">
        <w:rPr>
          <w:rFonts w:ascii="Georgia" w:hAnsi="Georgia"/>
          <w:b/>
          <w:bCs/>
          <w:sz w:val="18"/>
          <w:szCs w:val="20"/>
          <w:rtl/>
        </w:rPr>
        <w:t>ומסים</w:t>
      </w:r>
      <w:proofErr w:type="spellEnd"/>
      <w:r w:rsidRPr="00477056">
        <w:rPr>
          <w:rFonts w:ascii="Georgia" w:hAnsi="Georgia"/>
          <w:b/>
          <w:bCs/>
          <w:sz w:val="18"/>
          <w:szCs w:val="20"/>
          <w:rtl/>
        </w:rPr>
        <w:t xml:space="preserve"> לפי מגזר</w:t>
      </w:r>
      <w:r w:rsidRPr="00477056">
        <w:rPr>
          <w:rFonts w:ascii="Georgia" w:hAnsi="Georgia"/>
          <w:i/>
          <w:iCs/>
          <w:sz w:val="18"/>
          <w:szCs w:val="20"/>
          <w:rtl/>
        </w:rPr>
        <w:t>.</w:t>
      </w:r>
      <w:r w:rsidRPr="00477056">
        <w:rPr>
          <w:rFonts w:ascii="Georgia" w:hAnsi="Georgia"/>
          <w:sz w:val="18"/>
          <w:szCs w:val="20"/>
          <w:rtl/>
        </w:rPr>
        <w:t xml:space="preserve"> מרכז המחקר והמידע של הכנסת.</w:t>
      </w:r>
    </w:p>
    <w:p w14:paraId="4A84D86D"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t xml:space="preserve">הלשכה המרכזית לסטטיסטיקה. (2023א). </w:t>
      </w:r>
      <w:r w:rsidRPr="00477056">
        <w:rPr>
          <w:rFonts w:ascii="Georgia" w:hAnsi="Georgia"/>
          <w:b/>
          <w:bCs/>
          <w:sz w:val="18"/>
          <w:szCs w:val="20"/>
          <w:rtl/>
        </w:rPr>
        <w:t>פערים בין יהודים לערבים, 2020–2021: נתונים מתוך דוח פני החברה מס' 14</w:t>
      </w:r>
      <w:r w:rsidRPr="00477056">
        <w:rPr>
          <w:rFonts w:ascii="Georgia" w:hAnsi="Georgia"/>
          <w:sz w:val="18"/>
          <w:szCs w:val="20"/>
          <w:rtl/>
        </w:rPr>
        <w:t xml:space="preserve">. </w:t>
      </w:r>
    </w:p>
    <w:p w14:paraId="656FB286" w14:textId="77777777" w:rsidR="00477056" w:rsidRPr="00477056" w:rsidRDefault="00477056" w:rsidP="00493C94">
      <w:pPr>
        <w:spacing w:after="120"/>
        <w:ind w:left="397" w:hanging="397"/>
        <w:jc w:val="both"/>
        <w:rPr>
          <w:rFonts w:ascii="Georgia" w:hAnsi="Georgia"/>
          <w:b/>
          <w:bCs/>
          <w:sz w:val="18"/>
          <w:szCs w:val="20"/>
          <w:rtl/>
        </w:rPr>
      </w:pPr>
      <w:r w:rsidRPr="00477056">
        <w:rPr>
          <w:rFonts w:ascii="Georgia" w:hAnsi="Georgia"/>
          <w:sz w:val="18"/>
          <w:szCs w:val="20"/>
          <w:rtl/>
        </w:rPr>
        <w:t xml:space="preserve">הלשכה המרכזית לסטטיסטיקה. (2023ב). </w:t>
      </w:r>
      <w:r w:rsidRPr="00477056">
        <w:rPr>
          <w:rFonts w:ascii="Georgia" w:hAnsi="Georgia"/>
          <w:b/>
          <w:bCs/>
          <w:sz w:val="18"/>
          <w:szCs w:val="20"/>
          <w:rtl/>
        </w:rPr>
        <w:t>גירושין – נתונים נבחרים: 2002–2021</w:t>
      </w:r>
      <w:r w:rsidRPr="00477056">
        <w:rPr>
          <w:rFonts w:ascii="Georgia" w:hAnsi="Georgia"/>
          <w:sz w:val="18"/>
          <w:szCs w:val="20"/>
          <w:rtl/>
        </w:rPr>
        <w:t>.</w:t>
      </w:r>
      <w:r w:rsidRPr="00477056">
        <w:rPr>
          <w:rFonts w:ascii="Georgia" w:hAnsi="Georgia"/>
          <w:b/>
          <w:bCs/>
          <w:sz w:val="18"/>
          <w:szCs w:val="20"/>
          <w:rtl/>
        </w:rPr>
        <w:t xml:space="preserve"> </w:t>
      </w:r>
    </w:p>
    <w:p w14:paraId="0920B239"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t xml:space="preserve">הלשכה המרכזית לסטטיסטיקה. (2023ג). </w:t>
      </w:r>
      <w:r w:rsidRPr="00477056">
        <w:rPr>
          <w:rFonts w:ascii="Georgia" w:hAnsi="Georgia"/>
          <w:b/>
          <w:bCs/>
          <w:sz w:val="18"/>
          <w:szCs w:val="20"/>
          <w:rtl/>
        </w:rPr>
        <w:t>נתונים מסקר כוח אדם לחודש דצמבר 2022</w:t>
      </w:r>
      <w:r w:rsidRPr="00477056">
        <w:rPr>
          <w:rFonts w:ascii="Georgia" w:hAnsi="Georgia"/>
          <w:sz w:val="18"/>
          <w:szCs w:val="20"/>
          <w:rtl/>
        </w:rPr>
        <w:t>.</w:t>
      </w:r>
      <w:r w:rsidRPr="00477056">
        <w:rPr>
          <w:rFonts w:ascii="Georgia" w:hAnsi="Georgia"/>
          <w:b/>
          <w:bCs/>
          <w:sz w:val="18"/>
          <w:szCs w:val="20"/>
          <w:rtl/>
        </w:rPr>
        <w:t xml:space="preserve"> </w:t>
      </w:r>
    </w:p>
    <w:p w14:paraId="4661EBA1"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t xml:space="preserve">מלר, ט' (2017). אימהוּת עכשווית בחברה הפלסטינית בישראל: בין קישוריוּת למשא ומתן. </w:t>
      </w:r>
      <w:r w:rsidRPr="00477056">
        <w:rPr>
          <w:rFonts w:ascii="Georgia" w:hAnsi="Georgia"/>
          <w:b/>
          <w:bCs/>
          <w:sz w:val="18"/>
          <w:szCs w:val="20"/>
          <w:rtl/>
        </w:rPr>
        <w:t>ביטחון סוציאלי</w:t>
      </w:r>
      <w:r w:rsidRPr="00477056">
        <w:rPr>
          <w:rFonts w:ascii="Georgia" w:hAnsi="Georgia"/>
          <w:sz w:val="18"/>
          <w:szCs w:val="20"/>
          <w:rtl/>
        </w:rPr>
        <w:t>,</w:t>
      </w:r>
      <w:r w:rsidRPr="00477056">
        <w:rPr>
          <w:rFonts w:ascii="Georgia" w:hAnsi="Georgia"/>
          <w:b/>
          <w:bCs/>
          <w:sz w:val="18"/>
          <w:szCs w:val="20"/>
          <w:rtl/>
        </w:rPr>
        <w:t xml:space="preserve"> 103</w:t>
      </w:r>
      <w:r w:rsidRPr="00477056">
        <w:rPr>
          <w:rFonts w:ascii="Georgia" w:hAnsi="Georgia"/>
          <w:sz w:val="18"/>
          <w:szCs w:val="20"/>
          <w:rtl/>
        </w:rPr>
        <w:t>, 1–32.</w:t>
      </w:r>
    </w:p>
    <w:p w14:paraId="35995ECC"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t xml:space="preserve">משרד הכלכלה והתעשייה. (2021). </w:t>
      </w:r>
      <w:r w:rsidRPr="00477056">
        <w:rPr>
          <w:rFonts w:ascii="Georgia" w:hAnsi="Georgia"/>
          <w:b/>
          <w:bCs/>
          <w:sz w:val="18"/>
          <w:szCs w:val="20"/>
          <w:rtl/>
        </w:rPr>
        <w:t>תעסוקה בחברה הערבית: המלצת הצוות הבין-משרדי</w:t>
      </w:r>
      <w:r w:rsidRPr="00477056">
        <w:rPr>
          <w:rFonts w:ascii="Georgia" w:hAnsi="Georgia"/>
          <w:sz w:val="18"/>
          <w:szCs w:val="20"/>
          <w:rtl/>
        </w:rPr>
        <w:t xml:space="preserve">. </w:t>
      </w:r>
    </w:p>
    <w:p w14:paraId="57D693BF" w14:textId="5C7AA083"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סמוחה</w:t>
      </w:r>
      <w:proofErr w:type="spellEnd"/>
      <w:r w:rsidRPr="00477056">
        <w:rPr>
          <w:rFonts w:ascii="Georgia" w:hAnsi="Georgia"/>
          <w:sz w:val="18"/>
          <w:szCs w:val="20"/>
          <w:rtl/>
        </w:rPr>
        <w:t>, ס' (201</w:t>
      </w:r>
      <w:r w:rsidR="00AE5B8C">
        <w:rPr>
          <w:rFonts w:ascii="Georgia" w:hAnsi="Georgia" w:hint="cs"/>
          <w:sz w:val="18"/>
          <w:szCs w:val="20"/>
          <w:rtl/>
        </w:rPr>
        <w:t>7</w:t>
      </w:r>
      <w:r w:rsidRPr="00477056">
        <w:rPr>
          <w:rFonts w:ascii="Georgia" w:hAnsi="Georgia"/>
          <w:sz w:val="18"/>
          <w:szCs w:val="20"/>
          <w:rtl/>
        </w:rPr>
        <w:t xml:space="preserve">). </w:t>
      </w:r>
      <w:r w:rsidRPr="00477056">
        <w:rPr>
          <w:rFonts w:ascii="Georgia" w:hAnsi="Georgia"/>
          <w:b/>
          <w:bCs/>
          <w:sz w:val="18"/>
          <w:szCs w:val="20"/>
          <w:rtl/>
        </w:rPr>
        <w:t>לא שוברים את הכלים: מדד יחסי ערבים-יהודים בישראל 2015</w:t>
      </w:r>
      <w:r w:rsidRPr="00477056">
        <w:rPr>
          <w:rFonts w:ascii="Georgia" w:hAnsi="Georgia"/>
          <w:sz w:val="18"/>
          <w:szCs w:val="20"/>
          <w:rtl/>
        </w:rPr>
        <w:t xml:space="preserve">. פרדס. </w:t>
      </w:r>
    </w:p>
    <w:p w14:paraId="5DEEE5D8"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t>סער, ע' (2007). "</w:t>
      </w:r>
      <w:proofErr w:type="spellStart"/>
      <w:r w:rsidRPr="00477056">
        <w:rPr>
          <w:rFonts w:ascii="Georgia" w:hAnsi="Georgia"/>
          <w:sz w:val="18"/>
          <w:szCs w:val="20"/>
          <w:rtl/>
        </w:rPr>
        <w:t>קויה</w:t>
      </w:r>
      <w:proofErr w:type="spellEnd"/>
      <w:r w:rsidRPr="00477056">
        <w:rPr>
          <w:rFonts w:ascii="Georgia" w:hAnsi="Georgia"/>
          <w:sz w:val="18"/>
          <w:szCs w:val="20"/>
          <w:rtl/>
        </w:rPr>
        <w:t xml:space="preserve">": על נשים חזקות בחברה הפלסטינית בישראל. בתוך ח' הרצוג, ט' כוכבי וש' </w:t>
      </w:r>
      <w:proofErr w:type="spellStart"/>
      <w:r w:rsidRPr="00477056">
        <w:rPr>
          <w:rFonts w:ascii="Georgia" w:hAnsi="Georgia"/>
          <w:sz w:val="18"/>
          <w:szCs w:val="20"/>
          <w:rtl/>
        </w:rPr>
        <w:t>צלניקר</w:t>
      </w:r>
      <w:proofErr w:type="spellEnd"/>
      <w:r w:rsidRPr="00477056">
        <w:rPr>
          <w:rFonts w:ascii="Georgia" w:hAnsi="Georgia"/>
          <w:sz w:val="18"/>
          <w:szCs w:val="20"/>
          <w:rtl/>
        </w:rPr>
        <w:t xml:space="preserve"> (עורכים), </w:t>
      </w:r>
      <w:r w:rsidRPr="00477056">
        <w:rPr>
          <w:rFonts w:ascii="Georgia" w:hAnsi="Georgia"/>
          <w:b/>
          <w:bCs/>
          <w:sz w:val="18"/>
          <w:szCs w:val="20"/>
          <w:rtl/>
        </w:rPr>
        <w:t xml:space="preserve">דורות, מרחבים, זהויות: מבטים עכשוויים על חברה ותרבות בישראל </w:t>
      </w:r>
      <w:r w:rsidRPr="00477056">
        <w:rPr>
          <w:rFonts w:ascii="Georgia" w:hAnsi="Georgia"/>
          <w:sz w:val="18"/>
          <w:szCs w:val="20"/>
          <w:rtl/>
        </w:rPr>
        <w:t xml:space="preserve">(עמ' 369–393). מכון </w:t>
      </w:r>
      <w:proofErr w:type="spellStart"/>
      <w:r w:rsidRPr="00477056">
        <w:rPr>
          <w:rFonts w:ascii="Georgia" w:hAnsi="Georgia"/>
          <w:sz w:val="18"/>
          <w:szCs w:val="20"/>
          <w:rtl/>
        </w:rPr>
        <w:t>ון</w:t>
      </w:r>
      <w:proofErr w:type="spellEnd"/>
      <w:r w:rsidRPr="00477056">
        <w:rPr>
          <w:rFonts w:ascii="Georgia" w:hAnsi="Georgia"/>
          <w:sz w:val="18"/>
          <w:szCs w:val="20"/>
          <w:rtl/>
        </w:rPr>
        <w:t xml:space="preserve"> ליר; הקיבוץ המאוחד.</w:t>
      </w:r>
    </w:p>
    <w:p w14:paraId="30F4790B" w14:textId="42DB8838" w:rsidR="00477056" w:rsidRPr="00477056" w:rsidRDefault="00477056" w:rsidP="002F60CF">
      <w:pPr>
        <w:spacing w:after="120"/>
        <w:ind w:left="397" w:hanging="397"/>
        <w:jc w:val="both"/>
        <w:rPr>
          <w:rFonts w:ascii="Georgia" w:hAnsi="Georgia"/>
          <w:sz w:val="18"/>
          <w:szCs w:val="20"/>
          <w:rtl/>
        </w:rPr>
      </w:pPr>
      <w:r w:rsidRPr="00477056">
        <w:rPr>
          <w:rFonts w:ascii="Georgia" w:hAnsi="Georgia"/>
          <w:sz w:val="18"/>
          <w:szCs w:val="20"/>
          <w:rtl/>
        </w:rPr>
        <w:t xml:space="preserve">עלי, נ' </w:t>
      </w:r>
      <w:proofErr w:type="spellStart"/>
      <w:r w:rsidRPr="00477056">
        <w:rPr>
          <w:rFonts w:ascii="Georgia" w:hAnsi="Georgia"/>
          <w:sz w:val="18"/>
          <w:szCs w:val="20"/>
          <w:rtl/>
        </w:rPr>
        <w:t>וגורדוני</w:t>
      </w:r>
      <w:proofErr w:type="spellEnd"/>
      <w:r w:rsidRPr="00477056">
        <w:rPr>
          <w:rFonts w:ascii="Georgia" w:hAnsi="Georgia"/>
          <w:sz w:val="18"/>
          <w:szCs w:val="20"/>
          <w:rtl/>
        </w:rPr>
        <w:t>, ג' (2009). אידיאולוגיה של חלוקת מטלות וסמכויות במשפחה הפלסטינית בישראל: אי-שוויון מגדרי או מגמות של שוויון. בתוך פ</w:t>
      </w:r>
      <w:r w:rsidR="002F60CF">
        <w:rPr>
          <w:rFonts w:ascii="Georgia" w:hAnsi="Georgia" w:hint="cs"/>
          <w:sz w:val="18"/>
          <w:szCs w:val="20"/>
          <w:rtl/>
        </w:rPr>
        <w:t>'</w:t>
      </w:r>
      <w:r w:rsidRPr="00477056">
        <w:rPr>
          <w:rFonts w:ascii="Georgia" w:hAnsi="Georgia"/>
          <w:sz w:val="18"/>
          <w:szCs w:val="20"/>
          <w:rtl/>
        </w:rPr>
        <w:t xml:space="preserve"> </w:t>
      </w:r>
      <w:proofErr w:type="spellStart"/>
      <w:r w:rsidRPr="00477056">
        <w:rPr>
          <w:rFonts w:ascii="Georgia" w:hAnsi="Georgia"/>
          <w:sz w:val="18"/>
          <w:szCs w:val="20"/>
          <w:rtl/>
        </w:rPr>
        <w:t>עזאיזה</w:t>
      </w:r>
      <w:proofErr w:type="spellEnd"/>
      <w:r w:rsidRPr="00477056">
        <w:rPr>
          <w:rFonts w:ascii="Georgia" w:hAnsi="Georgia"/>
          <w:sz w:val="18"/>
          <w:szCs w:val="20"/>
          <w:rtl/>
        </w:rPr>
        <w:t>, ח</w:t>
      </w:r>
      <w:r w:rsidR="002F60CF">
        <w:rPr>
          <w:rFonts w:ascii="Georgia" w:hAnsi="Georgia" w:hint="cs"/>
          <w:sz w:val="18"/>
          <w:szCs w:val="20"/>
          <w:rtl/>
        </w:rPr>
        <w:t>'</w:t>
      </w:r>
      <w:r w:rsidRPr="00477056">
        <w:rPr>
          <w:rFonts w:ascii="Georgia" w:hAnsi="Georgia"/>
          <w:sz w:val="18"/>
          <w:szCs w:val="20"/>
          <w:rtl/>
        </w:rPr>
        <w:t xml:space="preserve"> אבו-בקר, </w:t>
      </w:r>
      <w:r w:rsidR="00E8789B">
        <w:rPr>
          <w:rFonts w:ascii="Georgia" w:hAnsi="Georgia"/>
          <w:sz w:val="18"/>
          <w:szCs w:val="20"/>
          <w:rtl/>
        </w:rPr>
        <w:br/>
      </w:r>
      <w:r w:rsidRPr="00477056">
        <w:rPr>
          <w:rFonts w:ascii="Georgia" w:hAnsi="Georgia"/>
          <w:sz w:val="18"/>
          <w:szCs w:val="20"/>
          <w:rtl/>
        </w:rPr>
        <w:t>ר</w:t>
      </w:r>
      <w:r w:rsidR="002F60CF">
        <w:rPr>
          <w:rFonts w:ascii="Georgia" w:hAnsi="Georgia" w:hint="cs"/>
          <w:sz w:val="18"/>
          <w:szCs w:val="20"/>
          <w:rtl/>
        </w:rPr>
        <w:t>'</w:t>
      </w:r>
      <w:r w:rsidRPr="00477056">
        <w:rPr>
          <w:rFonts w:ascii="Georgia" w:hAnsi="Georgia"/>
          <w:sz w:val="18"/>
          <w:szCs w:val="20"/>
          <w:rtl/>
        </w:rPr>
        <w:t xml:space="preserve"> הרץ-</w:t>
      </w:r>
      <w:proofErr w:type="spellStart"/>
      <w:r w:rsidRPr="00477056">
        <w:rPr>
          <w:rFonts w:ascii="Georgia" w:hAnsi="Georgia"/>
          <w:sz w:val="18"/>
          <w:szCs w:val="20"/>
          <w:rtl/>
        </w:rPr>
        <w:t>לזרוביץ</w:t>
      </w:r>
      <w:proofErr w:type="spellEnd"/>
      <w:r w:rsidRPr="00477056">
        <w:rPr>
          <w:rFonts w:ascii="Georgia" w:hAnsi="Georgia"/>
          <w:sz w:val="18"/>
          <w:szCs w:val="20"/>
          <w:rtl/>
        </w:rPr>
        <w:t xml:space="preserve"> וא</w:t>
      </w:r>
      <w:r w:rsidR="002F60CF">
        <w:rPr>
          <w:rFonts w:ascii="Georgia" w:hAnsi="Georgia" w:hint="cs"/>
          <w:sz w:val="18"/>
          <w:szCs w:val="20"/>
          <w:rtl/>
        </w:rPr>
        <w:t>'</w:t>
      </w:r>
      <w:r w:rsidRPr="00477056">
        <w:rPr>
          <w:rFonts w:ascii="Georgia" w:hAnsi="Georgia"/>
          <w:sz w:val="18"/>
          <w:szCs w:val="20"/>
          <w:rtl/>
        </w:rPr>
        <w:t xml:space="preserve"> </w:t>
      </w:r>
      <w:proofErr w:type="spellStart"/>
      <w:r w:rsidRPr="00477056">
        <w:rPr>
          <w:rFonts w:ascii="Georgia" w:hAnsi="Georgia"/>
          <w:sz w:val="18"/>
          <w:szCs w:val="20"/>
          <w:rtl/>
        </w:rPr>
        <w:t>גאנם</w:t>
      </w:r>
      <w:proofErr w:type="spellEnd"/>
      <w:r w:rsidRPr="00477056">
        <w:rPr>
          <w:rFonts w:ascii="Georgia" w:hAnsi="Georgia"/>
          <w:sz w:val="18"/>
          <w:szCs w:val="20"/>
          <w:rtl/>
        </w:rPr>
        <w:t xml:space="preserve"> (עורכים), </w:t>
      </w:r>
      <w:r w:rsidRPr="00477056">
        <w:rPr>
          <w:rFonts w:ascii="Georgia" w:hAnsi="Georgia"/>
          <w:b/>
          <w:bCs/>
          <w:sz w:val="18"/>
          <w:szCs w:val="20"/>
          <w:rtl/>
        </w:rPr>
        <w:t>נשים ערביות בישראל: תמונת מצב ומבט לעתיד</w:t>
      </w:r>
      <w:r w:rsidRPr="00477056">
        <w:rPr>
          <w:rFonts w:ascii="Georgia" w:hAnsi="Georgia"/>
          <w:sz w:val="18"/>
          <w:szCs w:val="20"/>
          <w:rtl/>
        </w:rPr>
        <w:t xml:space="preserve"> (עמ' 25–45). רמות.</w:t>
      </w:r>
    </w:p>
    <w:p w14:paraId="2DD47237"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עתאמנה</w:t>
      </w:r>
      <w:proofErr w:type="spellEnd"/>
      <w:r w:rsidRPr="00477056">
        <w:rPr>
          <w:rFonts w:ascii="Georgia" w:hAnsi="Georgia"/>
          <w:sz w:val="18"/>
          <w:szCs w:val="20"/>
          <w:rtl/>
        </w:rPr>
        <w:t xml:space="preserve">, ס' (2022). אימהות ערביות-פלסטיניות בישראל החיות בעוני ובנותיהן העובדות בשכר בזמן הלימודים: הפגיעה בהשכלה. </w:t>
      </w:r>
      <w:r w:rsidRPr="00477056">
        <w:rPr>
          <w:rFonts w:ascii="Georgia" w:hAnsi="Georgia"/>
          <w:b/>
          <w:bCs/>
          <w:sz w:val="18"/>
          <w:szCs w:val="20"/>
          <w:rtl/>
        </w:rPr>
        <w:t>חברה ורווחה</w:t>
      </w:r>
      <w:r w:rsidRPr="00477056">
        <w:rPr>
          <w:rFonts w:ascii="Georgia" w:hAnsi="Georgia"/>
          <w:sz w:val="18"/>
          <w:szCs w:val="20"/>
          <w:rtl/>
        </w:rPr>
        <w:t>,</w:t>
      </w:r>
      <w:r w:rsidRPr="00477056">
        <w:rPr>
          <w:rFonts w:ascii="Georgia" w:hAnsi="Georgia"/>
          <w:b/>
          <w:bCs/>
          <w:sz w:val="18"/>
          <w:szCs w:val="20"/>
          <w:rtl/>
        </w:rPr>
        <w:t xml:space="preserve"> </w:t>
      </w:r>
      <w:proofErr w:type="spellStart"/>
      <w:r w:rsidRPr="00477056">
        <w:rPr>
          <w:rFonts w:ascii="Georgia" w:hAnsi="Georgia"/>
          <w:b/>
          <w:bCs/>
          <w:sz w:val="18"/>
          <w:szCs w:val="20"/>
          <w:rtl/>
        </w:rPr>
        <w:t>מב</w:t>
      </w:r>
      <w:proofErr w:type="spellEnd"/>
      <w:r w:rsidRPr="00477056">
        <w:rPr>
          <w:rFonts w:ascii="Georgia" w:hAnsi="Georgia"/>
          <w:sz w:val="18"/>
          <w:szCs w:val="20"/>
          <w:rtl/>
        </w:rPr>
        <w:t xml:space="preserve">, 171–194. </w:t>
      </w:r>
    </w:p>
    <w:p w14:paraId="4A2E6BF1"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t xml:space="preserve">צדיק, ע' (2020). </w:t>
      </w:r>
      <w:r w:rsidRPr="00477056">
        <w:rPr>
          <w:rFonts w:ascii="Georgia" w:hAnsi="Georgia"/>
          <w:b/>
          <w:bCs/>
          <w:sz w:val="18"/>
          <w:szCs w:val="20"/>
          <w:rtl/>
        </w:rPr>
        <w:t>עובדים ערבים בכוח העבודה הכללי ובשירות המדינה: תעסוקה, שכר וסבסוד למגורים</w:t>
      </w:r>
      <w:r w:rsidRPr="00477056">
        <w:rPr>
          <w:rFonts w:ascii="Georgia" w:hAnsi="Georgia"/>
          <w:sz w:val="18"/>
          <w:szCs w:val="20"/>
          <w:rtl/>
        </w:rPr>
        <w:t>. מרכז המחקר והמידע של הכנסת.</w:t>
      </w:r>
    </w:p>
    <w:p w14:paraId="71EFCCB9" w14:textId="7DCA5033"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קופמן</w:t>
      </w:r>
      <w:proofErr w:type="spellEnd"/>
      <w:r w:rsidRPr="00477056">
        <w:rPr>
          <w:rFonts w:ascii="Georgia" w:hAnsi="Georgia"/>
          <w:sz w:val="18"/>
          <w:szCs w:val="20"/>
          <w:rtl/>
        </w:rPr>
        <w:t xml:space="preserve">, א' (2012). הפסיפס העדתי. בתוך א' </w:t>
      </w:r>
      <w:proofErr w:type="spellStart"/>
      <w:r w:rsidRPr="00477056">
        <w:rPr>
          <w:rFonts w:ascii="Georgia" w:hAnsi="Georgia"/>
          <w:sz w:val="18"/>
          <w:szCs w:val="20"/>
          <w:rtl/>
        </w:rPr>
        <w:t>קופמן</w:t>
      </w:r>
      <w:proofErr w:type="spellEnd"/>
      <w:r w:rsidRPr="00477056">
        <w:rPr>
          <w:rFonts w:ascii="Georgia" w:hAnsi="Georgia"/>
          <w:sz w:val="18"/>
          <w:szCs w:val="20"/>
          <w:rtl/>
        </w:rPr>
        <w:t xml:space="preserve">, ח' אבו-בקר וע' סער (עורכות), </w:t>
      </w:r>
      <w:r w:rsidRPr="00477056">
        <w:rPr>
          <w:rFonts w:ascii="Georgia" w:hAnsi="Georgia"/>
          <w:b/>
          <w:bCs/>
          <w:sz w:val="18"/>
          <w:szCs w:val="20"/>
          <w:rtl/>
        </w:rPr>
        <w:t xml:space="preserve">החברה הערבית בישראל: פסיפס חברתי: עדה, משפחה, מגדר </w:t>
      </w:r>
      <w:r w:rsidRPr="00477056">
        <w:rPr>
          <w:rFonts w:ascii="Georgia" w:hAnsi="Georgia"/>
          <w:sz w:val="18"/>
          <w:szCs w:val="20"/>
          <w:rtl/>
        </w:rPr>
        <w:t>(כרך ב, יחידה 5,</w:t>
      </w:r>
      <w:r w:rsidRPr="00477056">
        <w:rPr>
          <w:rFonts w:ascii="Georgia" w:hAnsi="Georgia"/>
          <w:b/>
          <w:bCs/>
          <w:sz w:val="18"/>
          <w:szCs w:val="20"/>
          <w:rtl/>
        </w:rPr>
        <w:t xml:space="preserve"> </w:t>
      </w:r>
      <w:r w:rsidRPr="00477056">
        <w:rPr>
          <w:rFonts w:ascii="Georgia" w:hAnsi="Georgia"/>
          <w:sz w:val="18"/>
          <w:szCs w:val="20"/>
          <w:rtl/>
        </w:rPr>
        <w:t xml:space="preserve">עמ' </w:t>
      </w:r>
      <w:r w:rsidR="00493C94">
        <w:rPr>
          <w:rFonts w:ascii="Georgia" w:hAnsi="Georgia"/>
          <w:sz w:val="18"/>
          <w:szCs w:val="20"/>
          <w:rtl/>
        </w:rPr>
        <w:br/>
      </w:r>
      <w:r w:rsidRPr="00477056">
        <w:rPr>
          <w:rFonts w:ascii="Georgia" w:hAnsi="Georgia"/>
          <w:sz w:val="18"/>
          <w:szCs w:val="20"/>
          <w:rtl/>
        </w:rPr>
        <w:t>13–153). האוניברסיטה הפתוחה.</w:t>
      </w:r>
    </w:p>
    <w:p w14:paraId="178DBCB0"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קרומר</w:t>
      </w:r>
      <w:proofErr w:type="spellEnd"/>
      <w:r w:rsidRPr="00477056">
        <w:rPr>
          <w:rFonts w:ascii="Georgia" w:hAnsi="Georgia"/>
          <w:sz w:val="18"/>
          <w:szCs w:val="20"/>
          <w:rtl/>
        </w:rPr>
        <w:t xml:space="preserve">-נבו, מ' (2015). עבודה סוציאלית מודעת עוני: פרדיגמה חדשה לפרקטיקה עם משפחות בעוני. </w:t>
      </w:r>
      <w:r w:rsidRPr="00477056">
        <w:rPr>
          <w:rFonts w:ascii="Georgia" w:hAnsi="Georgia"/>
          <w:b/>
          <w:bCs/>
          <w:sz w:val="18"/>
          <w:szCs w:val="20"/>
          <w:rtl/>
        </w:rPr>
        <w:t>חברה ורווחה</w:t>
      </w:r>
      <w:r w:rsidRPr="00477056">
        <w:rPr>
          <w:rFonts w:ascii="Georgia" w:hAnsi="Georgia"/>
          <w:sz w:val="18"/>
          <w:szCs w:val="20"/>
          <w:rtl/>
        </w:rPr>
        <w:t xml:space="preserve">, </w:t>
      </w:r>
      <w:r w:rsidRPr="00477056">
        <w:rPr>
          <w:rFonts w:ascii="Georgia" w:hAnsi="Georgia"/>
          <w:b/>
          <w:bCs/>
          <w:sz w:val="18"/>
          <w:szCs w:val="20"/>
          <w:rtl/>
        </w:rPr>
        <w:t>לה</w:t>
      </w:r>
      <w:r w:rsidRPr="00477056">
        <w:rPr>
          <w:rFonts w:ascii="Georgia" w:hAnsi="Georgia"/>
          <w:sz w:val="18"/>
          <w:szCs w:val="20"/>
          <w:rtl/>
        </w:rPr>
        <w:t>, 301–321.</w:t>
      </w:r>
    </w:p>
    <w:p w14:paraId="338C5992"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קרומר</w:t>
      </w:r>
      <w:proofErr w:type="spellEnd"/>
      <w:r w:rsidRPr="00477056">
        <w:rPr>
          <w:rFonts w:ascii="Georgia" w:hAnsi="Georgia"/>
          <w:sz w:val="18"/>
          <w:szCs w:val="20"/>
          <w:rtl/>
        </w:rPr>
        <w:t xml:space="preserve">-נבו, מ' (2022). </w:t>
      </w:r>
      <w:r w:rsidRPr="00477056">
        <w:rPr>
          <w:rFonts w:ascii="Georgia" w:hAnsi="Georgia"/>
          <w:b/>
          <w:bCs/>
          <w:sz w:val="18"/>
          <w:szCs w:val="20"/>
          <w:rtl/>
        </w:rPr>
        <w:t>תקווה רדיקלית: פרקטיקה מודעת עוני בעבודה סוציאלית</w:t>
      </w:r>
      <w:r w:rsidRPr="00477056">
        <w:rPr>
          <w:rFonts w:ascii="Georgia" w:hAnsi="Georgia"/>
          <w:sz w:val="18"/>
          <w:szCs w:val="20"/>
          <w:rtl/>
        </w:rPr>
        <w:t>. פרדס.</w:t>
      </w:r>
    </w:p>
    <w:p w14:paraId="2A550145"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lastRenderedPageBreak/>
        <w:t>קרומר</w:t>
      </w:r>
      <w:proofErr w:type="spellEnd"/>
      <w:r w:rsidRPr="00477056">
        <w:rPr>
          <w:rFonts w:ascii="Georgia" w:hAnsi="Georgia"/>
          <w:sz w:val="18"/>
          <w:szCs w:val="20"/>
          <w:rtl/>
        </w:rPr>
        <w:t>-נבו, מ', מאיר, א' וויסברג-</w:t>
      </w:r>
      <w:proofErr w:type="spellStart"/>
      <w:r w:rsidRPr="00477056">
        <w:rPr>
          <w:rFonts w:ascii="Georgia" w:hAnsi="Georgia"/>
          <w:sz w:val="18"/>
          <w:szCs w:val="20"/>
          <w:rtl/>
        </w:rPr>
        <w:t>נקאש</w:t>
      </w:r>
      <w:proofErr w:type="spellEnd"/>
      <w:r w:rsidRPr="00477056">
        <w:rPr>
          <w:rFonts w:ascii="Georgia" w:hAnsi="Georgia"/>
          <w:sz w:val="18"/>
          <w:szCs w:val="20"/>
          <w:rtl/>
        </w:rPr>
        <w:t xml:space="preserve">, נ' (2019). עבודה סוציאלית מודעת עוני: הנהגת הפרדיגמה במחלקות לשירותים חברתיים בשנים 2014–2018. </w:t>
      </w:r>
      <w:r w:rsidRPr="00477056">
        <w:rPr>
          <w:rFonts w:ascii="Georgia" w:hAnsi="Georgia"/>
          <w:b/>
          <w:bCs/>
          <w:sz w:val="18"/>
          <w:szCs w:val="20"/>
          <w:rtl/>
        </w:rPr>
        <w:t>ביטחון סוציאלי</w:t>
      </w:r>
      <w:r w:rsidRPr="00477056">
        <w:rPr>
          <w:rFonts w:ascii="Georgia" w:hAnsi="Georgia"/>
          <w:sz w:val="18"/>
          <w:szCs w:val="20"/>
          <w:rtl/>
        </w:rPr>
        <w:t xml:space="preserve">, </w:t>
      </w:r>
      <w:r w:rsidRPr="00477056">
        <w:rPr>
          <w:rFonts w:ascii="Georgia" w:hAnsi="Georgia"/>
          <w:b/>
          <w:bCs/>
          <w:sz w:val="18"/>
          <w:szCs w:val="20"/>
          <w:rtl/>
        </w:rPr>
        <w:t>106</w:t>
      </w:r>
      <w:r w:rsidRPr="00477056">
        <w:rPr>
          <w:rFonts w:ascii="Georgia" w:hAnsi="Georgia"/>
          <w:sz w:val="18"/>
          <w:szCs w:val="20"/>
          <w:rtl/>
        </w:rPr>
        <w:t xml:space="preserve">, 9–31. </w:t>
      </w:r>
    </w:p>
    <w:p w14:paraId="1A1E75A2"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רינאוי</w:t>
      </w:r>
      <w:proofErr w:type="spellEnd"/>
      <w:r w:rsidRPr="00477056">
        <w:rPr>
          <w:rFonts w:ascii="Georgia" w:hAnsi="Georgia"/>
          <w:sz w:val="18"/>
          <w:szCs w:val="20"/>
          <w:rtl/>
        </w:rPr>
        <w:t xml:space="preserve">, ח' (2003). </w:t>
      </w:r>
      <w:r w:rsidRPr="00477056">
        <w:rPr>
          <w:rFonts w:ascii="Georgia" w:hAnsi="Georgia"/>
          <w:b/>
          <w:bCs/>
          <w:sz w:val="18"/>
          <w:szCs w:val="20"/>
          <w:rtl/>
        </w:rPr>
        <w:t>החברה הערבית בישראל: סדר יום אמביוולנטי</w:t>
      </w:r>
      <w:r w:rsidRPr="00477056">
        <w:rPr>
          <w:rFonts w:ascii="Georgia" w:hAnsi="Georgia"/>
          <w:sz w:val="18"/>
          <w:szCs w:val="20"/>
          <w:rtl/>
        </w:rPr>
        <w:t>. בית ברל, המרכז לחקר החברה הערבית.</w:t>
      </w:r>
    </w:p>
    <w:p w14:paraId="1D9378DB"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t>שלהוב-</w:t>
      </w:r>
      <w:proofErr w:type="spellStart"/>
      <w:r w:rsidRPr="00477056">
        <w:rPr>
          <w:rFonts w:ascii="Georgia" w:hAnsi="Georgia"/>
          <w:sz w:val="18"/>
          <w:szCs w:val="20"/>
          <w:rtl/>
        </w:rPr>
        <w:t>קיבורקיאן</w:t>
      </w:r>
      <w:proofErr w:type="spellEnd"/>
      <w:r w:rsidRPr="00477056">
        <w:rPr>
          <w:rFonts w:ascii="Georgia" w:hAnsi="Georgia"/>
          <w:sz w:val="18"/>
          <w:szCs w:val="20"/>
          <w:rtl/>
        </w:rPr>
        <w:t xml:space="preserve">, נ' (2003). לחסום את הנידוי: התערבות </w:t>
      </w:r>
      <w:proofErr w:type="spellStart"/>
      <w:r w:rsidRPr="00477056">
        <w:rPr>
          <w:rFonts w:ascii="Georgia" w:hAnsi="Georgia"/>
          <w:sz w:val="18"/>
          <w:szCs w:val="20"/>
          <w:rtl/>
        </w:rPr>
        <w:t>רגישת</w:t>
      </w:r>
      <w:proofErr w:type="spellEnd"/>
      <w:r w:rsidRPr="00477056">
        <w:rPr>
          <w:rFonts w:ascii="Georgia" w:hAnsi="Georgia"/>
          <w:sz w:val="18"/>
          <w:szCs w:val="20"/>
          <w:rtl/>
        </w:rPr>
        <w:t xml:space="preserve"> הקשר לטיפול באלימות נגד נשים. בתוך ל' אליעזר וד' </w:t>
      </w:r>
      <w:proofErr w:type="spellStart"/>
      <w:r w:rsidRPr="00477056">
        <w:rPr>
          <w:rFonts w:ascii="Georgia" w:hAnsi="Georgia"/>
          <w:sz w:val="18"/>
          <w:szCs w:val="20"/>
          <w:rtl/>
        </w:rPr>
        <w:t>רואר-סטריאר</w:t>
      </w:r>
      <w:proofErr w:type="spellEnd"/>
      <w:r w:rsidRPr="00477056">
        <w:rPr>
          <w:rFonts w:ascii="Georgia" w:hAnsi="Georgia"/>
          <w:sz w:val="18"/>
          <w:szCs w:val="20"/>
          <w:rtl/>
        </w:rPr>
        <w:t xml:space="preserve"> (עורכים), </w:t>
      </w:r>
      <w:r w:rsidRPr="00477056">
        <w:rPr>
          <w:rFonts w:ascii="Georgia" w:hAnsi="Georgia"/>
          <w:b/>
          <w:bCs/>
          <w:sz w:val="18"/>
          <w:szCs w:val="20"/>
          <w:rtl/>
        </w:rPr>
        <w:t>שונות תרבותית כאתגר לשירותי אנוש</w:t>
      </w:r>
      <w:r w:rsidRPr="00477056">
        <w:rPr>
          <w:rFonts w:ascii="Georgia" w:hAnsi="Georgia"/>
          <w:sz w:val="18"/>
          <w:szCs w:val="20"/>
          <w:rtl/>
        </w:rPr>
        <w:t xml:space="preserve"> (עמ' 255–274). מאגנס.</w:t>
      </w:r>
    </w:p>
    <w:p w14:paraId="3D903B75" w14:textId="77777777" w:rsidR="00477056" w:rsidRPr="00477056" w:rsidRDefault="00477056" w:rsidP="00493C94">
      <w:pPr>
        <w:shd w:val="clear" w:color="auto" w:fill="FFFFFF"/>
        <w:bidi w:val="0"/>
        <w:spacing w:after="120"/>
        <w:ind w:left="397" w:hanging="397"/>
        <w:jc w:val="both"/>
        <w:rPr>
          <w:rFonts w:ascii="Georgia" w:hAnsi="Georgia"/>
          <w:sz w:val="18"/>
          <w:szCs w:val="20"/>
        </w:rPr>
      </w:pPr>
      <w:r w:rsidRPr="00477056">
        <w:rPr>
          <w:rFonts w:ascii="Georgia" w:hAnsi="Georgia"/>
          <w:sz w:val="18"/>
          <w:szCs w:val="20"/>
        </w:rPr>
        <w:t xml:space="preserve">Abrams, L. S., </w:t>
      </w:r>
      <w:r w:rsidRPr="00477056">
        <w:rPr>
          <w:rFonts w:ascii="Georgia" w:hAnsi="Georgia"/>
          <w:sz w:val="18"/>
          <w:szCs w:val="20"/>
          <w:rtl/>
        </w:rPr>
        <w:t>&amp;</w:t>
      </w:r>
      <w:r w:rsidRPr="00477056">
        <w:rPr>
          <w:rFonts w:ascii="Georgia" w:hAnsi="Georgia"/>
          <w:sz w:val="18"/>
          <w:szCs w:val="20"/>
        </w:rPr>
        <w:t xml:space="preserve"> </w:t>
      </w:r>
      <w:proofErr w:type="spellStart"/>
      <w:r w:rsidRPr="00477056">
        <w:rPr>
          <w:rFonts w:ascii="Georgia" w:hAnsi="Georgia"/>
          <w:sz w:val="18"/>
          <w:szCs w:val="20"/>
        </w:rPr>
        <w:t>Moio</w:t>
      </w:r>
      <w:proofErr w:type="spellEnd"/>
      <w:r w:rsidRPr="00477056">
        <w:rPr>
          <w:rFonts w:ascii="Georgia" w:hAnsi="Georgia"/>
          <w:sz w:val="18"/>
          <w:szCs w:val="20"/>
        </w:rPr>
        <w:t xml:space="preserve">, J. A. (2009). Critical race theory and the cultural competence dilemma in social work education. </w:t>
      </w:r>
      <w:r w:rsidRPr="00477056">
        <w:rPr>
          <w:rFonts w:ascii="Georgia" w:hAnsi="Georgia"/>
          <w:i/>
          <w:iCs/>
          <w:sz w:val="18"/>
          <w:szCs w:val="20"/>
        </w:rPr>
        <w:t>Journal of Social Work Education</w:t>
      </w:r>
      <w:r w:rsidRPr="00477056">
        <w:rPr>
          <w:rFonts w:ascii="Georgia" w:hAnsi="Georgia"/>
          <w:sz w:val="18"/>
          <w:szCs w:val="20"/>
        </w:rPr>
        <w:t xml:space="preserve">, </w:t>
      </w:r>
      <w:r w:rsidRPr="00477056">
        <w:rPr>
          <w:rFonts w:ascii="Georgia" w:hAnsi="Georgia"/>
          <w:i/>
          <w:iCs/>
          <w:sz w:val="18"/>
          <w:szCs w:val="20"/>
        </w:rPr>
        <w:t>45</w:t>
      </w:r>
      <w:r w:rsidRPr="00477056">
        <w:rPr>
          <w:rFonts w:ascii="Georgia" w:hAnsi="Georgia"/>
          <w:sz w:val="18"/>
          <w:szCs w:val="20"/>
        </w:rPr>
        <w:t xml:space="preserve">, 245–261. </w:t>
      </w:r>
      <w:hyperlink r:id="rId9" w:history="1">
        <w:r w:rsidRPr="00477056">
          <w:rPr>
            <w:rStyle w:val="Hyperlink"/>
            <w:rFonts w:ascii="Georgia" w:hAnsi="Georgia"/>
            <w:sz w:val="18"/>
            <w:szCs w:val="20"/>
          </w:rPr>
          <w:t>https://doi.org/10.5175/jswe.2009.200700109</w:t>
        </w:r>
      </w:hyperlink>
    </w:p>
    <w:p w14:paraId="6145BF6F" w14:textId="77777777" w:rsidR="00477056" w:rsidRPr="00477056" w:rsidRDefault="00477056" w:rsidP="00493C94">
      <w:pPr>
        <w:bidi w:val="0"/>
        <w:spacing w:after="120"/>
        <w:ind w:left="397" w:hanging="397"/>
        <w:jc w:val="both"/>
        <w:rPr>
          <w:rStyle w:val="Hyperlink"/>
          <w:rFonts w:ascii="Georgia" w:hAnsi="Georgia"/>
          <w:sz w:val="18"/>
          <w:szCs w:val="20"/>
        </w:rPr>
      </w:pPr>
      <w:r w:rsidRPr="00477056">
        <w:rPr>
          <w:rFonts w:ascii="Georgia" w:hAnsi="Georgia"/>
          <w:sz w:val="18"/>
          <w:szCs w:val="20"/>
        </w:rPr>
        <w:t xml:space="preserve">Abu-Baker, K. A., &amp; </w:t>
      </w:r>
      <w:proofErr w:type="spellStart"/>
      <w:r w:rsidRPr="00477056">
        <w:rPr>
          <w:rFonts w:ascii="Georgia" w:hAnsi="Georgia"/>
          <w:sz w:val="18"/>
          <w:szCs w:val="20"/>
        </w:rPr>
        <w:t>Dwairy</w:t>
      </w:r>
      <w:proofErr w:type="spellEnd"/>
      <w:r w:rsidRPr="00477056">
        <w:rPr>
          <w:rFonts w:ascii="Georgia" w:hAnsi="Georgia"/>
          <w:sz w:val="18"/>
          <w:szCs w:val="20"/>
        </w:rPr>
        <w:t>, M. (2003). Cultural norms versus state law in treating incest: A suggested model for Arab families.</w:t>
      </w:r>
      <w:r w:rsidRPr="00477056">
        <w:rPr>
          <w:rFonts w:ascii="Georgia" w:hAnsi="Georgia"/>
          <w:sz w:val="18"/>
          <w:szCs w:val="20"/>
          <w:rtl/>
        </w:rPr>
        <w:t xml:space="preserve"> </w:t>
      </w:r>
      <w:r w:rsidRPr="00477056">
        <w:rPr>
          <w:rFonts w:ascii="Georgia" w:hAnsi="Georgia"/>
          <w:i/>
          <w:iCs/>
          <w:sz w:val="18"/>
          <w:szCs w:val="20"/>
        </w:rPr>
        <w:t>Child Abuse &amp; Neglect</w:t>
      </w:r>
      <w:r w:rsidRPr="00477056">
        <w:rPr>
          <w:rFonts w:ascii="Georgia" w:hAnsi="Georgia"/>
          <w:sz w:val="18"/>
          <w:szCs w:val="20"/>
        </w:rPr>
        <w:t>,</w:t>
      </w:r>
      <w:r w:rsidRPr="00477056">
        <w:rPr>
          <w:rFonts w:ascii="Georgia" w:hAnsi="Georgia"/>
          <w:sz w:val="18"/>
          <w:szCs w:val="20"/>
          <w:rtl/>
        </w:rPr>
        <w:t xml:space="preserve"> </w:t>
      </w:r>
      <w:r w:rsidRPr="00477056">
        <w:rPr>
          <w:rFonts w:ascii="Georgia" w:hAnsi="Georgia"/>
          <w:i/>
          <w:iCs/>
          <w:sz w:val="18"/>
          <w:szCs w:val="20"/>
        </w:rPr>
        <w:t>27</w:t>
      </w:r>
      <w:r w:rsidRPr="00477056">
        <w:rPr>
          <w:rFonts w:ascii="Georgia" w:hAnsi="Georgia"/>
          <w:sz w:val="18"/>
          <w:szCs w:val="20"/>
        </w:rPr>
        <w:t>, 109–123.</w:t>
      </w:r>
      <w:r w:rsidRPr="00477056">
        <w:rPr>
          <w:rFonts w:ascii="Georgia" w:hAnsi="Georgia"/>
          <w:sz w:val="18"/>
          <w:szCs w:val="20"/>
          <w:rtl/>
        </w:rPr>
        <w:t>‏</w:t>
      </w:r>
      <w:r w:rsidRPr="00477056">
        <w:rPr>
          <w:rFonts w:ascii="Georgia" w:hAnsi="Georgia"/>
          <w:sz w:val="18"/>
          <w:szCs w:val="20"/>
        </w:rPr>
        <w:t xml:space="preserve"> </w:t>
      </w:r>
      <w:hyperlink r:id="rId10" w:tgtFrame="_blank" w:tooltip="Persistent link using digital object identifier" w:history="1">
        <w:r w:rsidRPr="00477056">
          <w:rPr>
            <w:rStyle w:val="Hyperlink"/>
            <w:rFonts w:ascii="Georgia" w:hAnsi="Georgia"/>
            <w:sz w:val="18"/>
            <w:szCs w:val="20"/>
          </w:rPr>
          <w:t>https://doi.org/10.1016/S0145-2134(02)00505-7</w:t>
        </w:r>
      </w:hyperlink>
    </w:p>
    <w:p w14:paraId="537EB4F4" w14:textId="77777777" w:rsidR="00493C94" w:rsidRDefault="00477056" w:rsidP="00493C94">
      <w:pPr>
        <w:keepNext/>
        <w:keepLines/>
        <w:bidi w:val="0"/>
        <w:ind w:left="397" w:hanging="397"/>
        <w:jc w:val="both"/>
        <w:rPr>
          <w:rFonts w:ascii="Georgia" w:hAnsi="Georgia"/>
          <w:sz w:val="18"/>
          <w:szCs w:val="20"/>
          <w:rtl/>
        </w:rPr>
      </w:pPr>
      <w:r w:rsidRPr="00477056">
        <w:rPr>
          <w:rFonts w:ascii="Georgia" w:hAnsi="Georgia"/>
          <w:sz w:val="18"/>
          <w:szCs w:val="20"/>
        </w:rPr>
        <w:t>Abu</w:t>
      </w:r>
      <w:r w:rsidRPr="00477056">
        <w:rPr>
          <w:rFonts w:ascii="Cambria Math" w:hAnsi="Cambria Math" w:cs="Cambria Math"/>
          <w:sz w:val="18"/>
          <w:szCs w:val="20"/>
        </w:rPr>
        <w:t>‐</w:t>
      </w:r>
      <w:r w:rsidRPr="00477056">
        <w:rPr>
          <w:rFonts w:ascii="Georgia" w:hAnsi="Georgia"/>
          <w:sz w:val="18"/>
          <w:szCs w:val="20"/>
        </w:rPr>
        <w:t>Lughod, L. (1990). The romance of resistance: Tracing transformations of power through Bedouin women.</w:t>
      </w:r>
      <w:r w:rsidRPr="00477056">
        <w:rPr>
          <w:rFonts w:ascii="Georgia" w:hAnsi="Georgia"/>
          <w:sz w:val="18"/>
          <w:szCs w:val="20"/>
          <w:rtl/>
        </w:rPr>
        <w:t xml:space="preserve"> </w:t>
      </w:r>
      <w:r w:rsidRPr="00477056">
        <w:rPr>
          <w:rFonts w:ascii="Georgia" w:hAnsi="Georgia"/>
          <w:i/>
          <w:iCs/>
          <w:sz w:val="18"/>
          <w:szCs w:val="20"/>
        </w:rPr>
        <w:t>American Ethnologist</w:t>
      </w:r>
      <w:r w:rsidRPr="00477056">
        <w:rPr>
          <w:rFonts w:ascii="Georgia" w:hAnsi="Georgia"/>
          <w:sz w:val="18"/>
          <w:szCs w:val="20"/>
        </w:rPr>
        <w:t>,</w:t>
      </w:r>
      <w:r w:rsidRPr="00477056">
        <w:rPr>
          <w:rFonts w:ascii="Georgia" w:hAnsi="Georgia"/>
          <w:sz w:val="18"/>
          <w:szCs w:val="20"/>
          <w:rtl/>
        </w:rPr>
        <w:t xml:space="preserve"> </w:t>
      </w:r>
      <w:r w:rsidRPr="00477056">
        <w:rPr>
          <w:rFonts w:ascii="Georgia" w:hAnsi="Georgia"/>
          <w:i/>
          <w:iCs/>
          <w:sz w:val="18"/>
          <w:szCs w:val="20"/>
        </w:rPr>
        <w:t>17</w:t>
      </w:r>
      <w:r w:rsidRPr="00477056">
        <w:rPr>
          <w:rFonts w:ascii="Georgia" w:hAnsi="Georgia"/>
          <w:sz w:val="18"/>
          <w:szCs w:val="20"/>
        </w:rPr>
        <w:t xml:space="preserve">, 41–55. </w:t>
      </w:r>
    </w:p>
    <w:p w14:paraId="4BCDED8D" w14:textId="78B13861" w:rsidR="00477056" w:rsidRPr="00477056" w:rsidRDefault="00493C94" w:rsidP="00493C94">
      <w:pPr>
        <w:bidi w:val="0"/>
        <w:spacing w:after="120"/>
        <w:ind w:left="397"/>
        <w:jc w:val="both"/>
        <w:rPr>
          <w:rFonts w:ascii="Georgia" w:hAnsi="Georgia"/>
          <w:sz w:val="18"/>
          <w:szCs w:val="20"/>
        </w:rPr>
      </w:pPr>
      <w:hyperlink r:id="rId11" w:history="1">
        <w:r w:rsidRPr="00597FB3">
          <w:rPr>
            <w:rStyle w:val="Hyperlink"/>
            <w:rFonts w:ascii="Georgia" w:hAnsi="Georgia"/>
            <w:sz w:val="18"/>
            <w:szCs w:val="20"/>
          </w:rPr>
          <w:t>https://doi.org/10.1525/ae.1990.17.1.02a00030</w:t>
        </w:r>
      </w:hyperlink>
    </w:p>
    <w:p w14:paraId="353D8DD5" w14:textId="67C548B0" w:rsidR="00493C94" w:rsidRDefault="00477056" w:rsidP="00493C94">
      <w:pPr>
        <w:keepNext/>
        <w:keepLines/>
        <w:bidi w:val="0"/>
        <w:ind w:left="397" w:hanging="397"/>
        <w:jc w:val="both"/>
        <w:rPr>
          <w:rFonts w:ascii="Georgia" w:hAnsi="Georgia"/>
          <w:sz w:val="18"/>
          <w:szCs w:val="20"/>
        </w:rPr>
      </w:pPr>
      <w:r w:rsidRPr="00477056">
        <w:rPr>
          <w:rFonts w:ascii="Georgia" w:hAnsi="Georgia"/>
          <w:sz w:val="18"/>
          <w:szCs w:val="20"/>
        </w:rPr>
        <w:t xml:space="preserve">Abu-Rabia, A. (2011). Family honor killings: Between custom and state law. </w:t>
      </w:r>
      <w:r w:rsidRPr="00477056">
        <w:rPr>
          <w:rFonts w:ascii="Georgia" w:hAnsi="Georgia"/>
          <w:i/>
          <w:iCs/>
          <w:color w:val="222222"/>
          <w:sz w:val="18"/>
          <w:szCs w:val="20"/>
        </w:rPr>
        <w:t>The Open Psychology Journal</w:t>
      </w:r>
      <w:r w:rsidRPr="00477056">
        <w:rPr>
          <w:rFonts w:ascii="Georgia" w:hAnsi="Georgia"/>
          <w:color w:val="222222"/>
          <w:sz w:val="18"/>
          <w:szCs w:val="20"/>
        </w:rPr>
        <w:t>, 4, 34</w:t>
      </w:r>
      <w:r w:rsidRPr="00477056">
        <w:rPr>
          <w:rFonts w:ascii="Georgia" w:hAnsi="Georgia"/>
          <w:sz w:val="18"/>
          <w:szCs w:val="20"/>
        </w:rPr>
        <w:t>–</w:t>
      </w:r>
      <w:r w:rsidRPr="00477056">
        <w:rPr>
          <w:rFonts w:ascii="Georgia" w:hAnsi="Georgia"/>
          <w:color w:val="222222"/>
          <w:sz w:val="18"/>
          <w:szCs w:val="20"/>
        </w:rPr>
        <w:t>44.</w:t>
      </w:r>
      <w:r w:rsidRPr="00477056">
        <w:rPr>
          <w:rFonts w:ascii="Georgia" w:hAnsi="Georgia"/>
          <w:sz w:val="18"/>
          <w:szCs w:val="20"/>
        </w:rPr>
        <w:t xml:space="preserve"> </w:t>
      </w:r>
    </w:p>
    <w:p w14:paraId="361F071A" w14:textId="65E5ECDC" w:rsidR="00477056" w:rsidRPr="00477056" w:rsidRDefault="00493C94" w:rsidP="00493C94">
      <w:pPr>
        <w:bidi w:val="0"/>
        <w:spacing w:after="120"/>
        <w:ind w:left="397"/>
        <w:jc w:val="both"/>
        <w:rPr>
          <w:rFonts w:ascii="Georgia" w:hAnsi="Georgia"/>
          <w:sz w:val="18"/>
          <w:szCs w:val="20"/>
        </w:rPr>
      </w:pPr>
      <w:hyperlink r:id="rId12" w:history="1">
        <w:r w:rsidRPr="00597FB3">
          <w:rPr>
            <w:rStyle w:val="Hyperlink"/>
            <w:rFonts w:ascii="Georgia" w:hAnsi="Georgia"/>
            <w:sz w:val="18"/>
            <w:szCs w:val="20"/>
          </w:rPr>
          <w:t>https://doi.org/10.2174/1874350101104010034</w:t>
        </w:r>
      </w:hyperlink>
    </w:p>
    <w:p w14:paraId="4B01D7F7" w14:textId="77777777" w:rsidR="00493C94" w:rsidRDefault="00477056" w:rsidP="00493C94">
      <w:pPr>
        <w:keepNext/>
        <w:keepLines/>
        <w:bidi w:val="0"/>
        <w:ind w:left="397" w:hanging="397"/>
        <w:jc w:val="both"/>
        <w:rPr>
          <w:rFonts w:ascii="Georgia" w:hAnsi="Georgia"/>
          <w:sz w:val="18"/>
          <w:szCs w:val="20"/>
          <w:rtl/>
        </w:rPr>
      </w:pPr>
      <w:r w:rsidRPr="00477056">
        <w:rPr>
          <w:rFonts w:ascii="Georgia" w:hAnsi="Georgia"/>
          <w:sz w:val="18"/>
          <w:szCs w:val="20"/>
        </w:rPr>
        <w:t>Abu</w:t>
      </w:r>
      <w:r w:rsidRPr="00477056">
        <w:rPr>
          <w:rFonts w:ascii="Cambria Math" w:hAnsi="Cambria Math" w:cs="Cambria Math"/>
          <w:sz w:val="18"/>
          <w:szCs w:val="20"/>
        </w:rPr>
        <w:t>‐</w:t>
      </w:r>
      <w:r w:rsidRPr="00477056">
        <w:rPr>
          <w:rFonts w:ascii="Georgia" w:hAnsi="Georgia"/>
          <w:sz w:val="18"/>
          <w:szCs w:val="20"/>
        </w:rPr>
        <w:t>Rabia</w:t>
      </w:r>
      <w:r w:rsidRPr="00477056">
        <w:rPr>
          <w:rFonts w:ascii="Cambria Math" w:hAnsi="Cambria Math" w:cs="Cambria Math"/>
          <w:sz w:val="18"/>
          <w:szCs w:val="20"/>
        </w:rPr>
        <w:t>‐</w:t>
      </w:r>
      <w:r w:rsidRPr="00477056">
        <w:rPr>
          <w:rFonts w:ascii="Georgia" w:hAnsi="Georgia"/>
          <w:sz w:val="18"/>
          <w:szCs w:val="20"/>
        </w:rPr>
        <w:t xml:space="preserve">Queder, S. (2006). Between tradition and modernization: Understanding the problem of female Bedouin dropouts. </w:t>
      </w:r>
      <w:r w:rsidRPr="00477056">
        <w:rPr>
          <w:rFonts w:ascii="Georgia" w:hAnsi="Georgia"/>
          <w:i/>
          <w:iCs/>
          <w:color w:val="222222"/>
          <w:sz w:val="18"/>
          <w:szCs w:val="20"/>
        </w:rPr>
        <w:t>British Journal of Sociology of Education</w:t>
      </w:r>
      <w:r w:rsidRPr="00477056">
        <w:rPr>
          <w:rFonts w:ascii="Georgia" w:hAnsi="Georgia"/>
          <w:color w:val="222222"/>
          <w:sz w:val="18"/>
          <w:szCs w:val="20"/>
        </w:rPr>
        <w:t xml:space="preserve">, </w:t>
      </w:r>
      <w:r w:rsidRPr="00477056">
        <w:rPr>
          <w:rFonts w:ascii="Georgia" w:hAnsi="Georgia"/>
          <w:i/>
          <w:iCs/>
          <w:color w:val="222222"/>
          <w:sz w:val="18"/>
          <w:szCs w:val="20"/>
        </w:rPr>
        <w:t>27</w:t>
      </w:r>
      <w:r w:rsidRPr="00477056">
        <w:rPr>
          <w:rFonts w:ascii="Georgia" w:hAnsi="Georgia"/>
          <w:color w:val="222222"/>
          <w:sz w:val="18"/>
          <w:szCs w:val="20"/>
        </w:rPr>
        <w:t>, 3</w:t>
      </w:r>
      <w:r w:rsidRPr="00477056">
        <w:rPr>
          <w:rFonts w:ascii="Georgia" w:hAnsi="Georgia"/>
          <w:sz w:val="18"/>
          <w:szCs w:val="20"/>
        </w:rPr>
        <w:t>–</w:t>
      </w:r>
      <w:r w:rsidRPr="00477056">
        <w:rPr>
          <w:rFonts w:ascii="Georgia" w:hAnsi="Georgia"/>
          <w:color w:val="222222"/>
          <w:sz w:val="18"/>
          <w:szCs w:val="20"/>
        </w:rPr>
        <w:t>17.</w:t>
      </w:r>
      <w:r w:rsidRPr="00477056">
        <w:rPr>
          <w:rFonts w:ascii="Georgia" w:hAnsi="Georgia"/>
          <w:sz w:val="18"/>
          <w:szCs w:val="20"/>
        </w:rPr>
        <w:t xml:space="preserve"> </w:t>
      </w:r>
    </w:p>
    <w:p w14:paraId="5F6031DB" w14:textId="01838CF1" w:rsidR="00477056" w:rsidRPr="00477056" w:rsidRDefault="00493C94" w:rsidP="00493C94">
      <w:pPr>
        <w:bidi w:val="0"/>
        <w:spacing w:after="120"/>
        <w:ind w:left="397"/>
        <w:jc w:val="both"/>
        <w:rPr>
          <w:rFonts w:ascii="Georgia" w:hAnsi="Georgia"/>
          <w:sz w:val="18"/>
          <w:szCs w:val="20"/>
        </w:rPr>
      </w:pPr>
      <w:hyperlink r:id="rId13" w:history="1">
        <w:r w:rsidRPr="00597FB3">
          <w:rPr>
            <w:rStyle w:val="Hyperlink"/>
            <w:rFonts w:ascii="Georgia" w:hAnsi="Georgia"/>
            <w:sz w:val="18"/>
            <w:szCs w:val="20"/>
          </w:rPr>
          <w:t>https://doi.org/10.1080/01425690500376309</w:t>
        </w:r>
      </w:hyperlink>
    </w:p>
    <w:p w14:paraId="7BD89EF8" w14:textId="77777777" w:rsidR="00493C94" w:rsidRDefault="00477056" w:rsidP="00493C94">
      <w:pPr>
        <w:keepNext/>
        <w:keepLines/>
        <w:bidi w:val="0"/>
        <w:ind w:left="397" w:hanging="397"/>
        <w:jc w:val="both"/>
        <w:rPr>
          <w:rFonts w:ascii="Georgia" w:hAnsi="Georgia"/>
          <w:sz w:val="18"/>
          <w:szCs w:val="20"/>
          <w:rtl/>
        </w:rPr>
      </w:pPr>
      <w:r w:rsidRPr="00477056">
        <w:rPr>
          <w:rFonts w:ascii="Georgia" w:hAnsi="Georgia"/>
          <w:sz w:val="18"/>
          <w:szCs w:val="20"/>
        </w:rPr>
        <w:t xml:space="preserve">Abu-Rabia-Queder, S. (2007). Permission to rebel: Arab Bedouin women’s changing negotiation of social roles. </w:t>
      </w:r>
      <w:r w:rsidRPr="00477056">
        <w:rPr>
          <w:rFonts w:ascii="Georgia" w:hAnsi="Georgia"/>
          <w:i/>
          <w:iCs/>
          <w:sz w:val="18"/>
          <w:szCs w:val="20"/>
        </w:rPr>
        <w:t>Feminist Studies</w:t>
      </w:r>
      <w:r w:rsidRPr="00477056">
        <w:rPr>
          <w:rFonts w:ascii="Georgia" w:hAnsi="Georgia"/>
          <w:sz w:val="18"/>
          <w:szCs w:val="20"/>
        </w:rPr>
        <w:t>,</w:t>
      </w:r>
      <w:r w:rsidRPr="00477056">
        <w:rPr>
          <w:rFonts w:ascii="Georgia" w:hAnsi="Georgia"/>
          <w:i/>
          <w:iCs/>
          <w:sz w:val="18"/>
          <w:szCs w:val="20"/>
        </w:rPr>
        <w:t xml:space="preserve"> 33</w:t>
      </w:r>
      <w:r w:rsidRPr="00477056">
        <w:rPr>
          <w:rFonts w:ascii="Georgia" w:hAnsi="Georgia"/>
          <w:sz w:val="18"/>
          <w:szCs w:val="20"/>
        </w:rPr>
        <w:t xml:space="preserve">, 161–187. </w:t>
      </w:r>
    </w:p>
    <w:p w14:paraId="08658E5B" w14:textId="055FAD98" w:rsidR="00477056" w:rsidRPr="00477056" w:rsidRDefault="00493C94" w:rsidP="00493C94">
      <w:pPr>
        <w:bidi w:val="0"/>
        <w:spacing w:after="120"/>
        <w:ind w:left="397"/>
        <w:jc w:val="both"/>
        <w:rPr>
          <w:rStyle w:val="Hyperlink"/>
          <w:rFonts w:ascii="Georgia" w:hAnsi="Georgia"/>
          <w:sz w:val="18"/>
          <w:szCs w:val="20"/>
        </w:rPr>
      </w:pPr>
      <w:hyperlink r:id="rId14" w:history="1">
        <w:r w:rsidRPr="00597FB3">
          <w:rPr>
            <w:rStyle w:val="Hyperlink"/>
            <w:rFonts w:ascii="Georgia" w:hAnsi="Georgia"/>
            <w:sz w:val="18"/>
            <w:szCs w:val="20"/>
          </w:rPr>
          <w:t>https://www.jstor.org/stable/20459128</w:t>
        </w:r>
      </w:hyperlink>
    </w:p>
    <w:p w14:paraId="3B12ECD6" w14:textId="65E70C26" w:rsidR="00477056" w:rsidRPr="00477056" w:rsidRDefault="00477056" w:rsidP="00493C94">
      <w:pPr>
        <w:bidi w:val="0"/>
        <w:spacing w:after="120"/>
        <w:ind w:left="397" w:hanging="397"/>
        <w:jc w:val="both"/>
        <w:rPr>
          <w:rFonts w:ascii="Georgia" w:hAnsi="Georgia"/>
          <w:sz w:val="18"/>
          <w:szCs w:val="20"/>
        </w:rPr>
      </w:pPr>
      <w:r w:rsidRPr="00477056">
        <w:rPr>
          <w:rFonts w:ascii="Georgia" w:hAnsi="Georgia"/>
          <w:sz w:val="18"/>
          <w:szCs w:val="20"/>
        </w:rPr>
        <w:t xml:space="preserve">Abu-Rayya, H. M., </w:t>
      </w:r>
      <w:proofErr w:type="spellStart"/>
      <w:r w:rsidRPr="00477056">
        <w:rPr>
          <w:rFonts w:ascii="Georgia" w:hAnsi="Georgia"/>
          <w:sz w:val="18"/>
          <w:szCs w:val="20"/>
        </w:rPr>
        <w:t>Strier</w:t>
      </w:r>
      <w:proofErr w:type="spellEnd"/>
      <w:r w:rsidRPr="00477056">
        <w:rPr>
          <w:rFonts w:ascii="Georgia" w:hAnsi="Georgia"/>
          <w:sz w:val="18"/>
          <w:szCs w:val="20"/>
        </w:rPr>
        <w:t>, R., &amp; Shwartz-Ziv, T. (2021). Social workers’ construction of cultural competence in polarized cities.</w:t>
      </w:r>
      <w:r w:rsidR="00493C94">
        <w:rPr>
          <w:rFonts w:ascii="Georgia" w:hAnsi="Georgia" w:hint="cs"/>
          <w:sz w:val="18"/>
          <w:szCs w:val="20"/>
          <w:rtl/>
        </w:rPr>
        <w:t xml:space="preserve">  </w:t>
      </w:r>
      <w:r w:rsidRPr="00477056">
        <w:rPr>
          <w:rFonts w:ascii="Georgia" w:hAnsi="Georgia"/>
          <w:i/>
          <w:iCs/>
          <w:color w:val="222222"/>
          <w:sz w:val="18"/>
          <w:szCs w:val="20"/>
        </w:rPr>
        <w:t>Journal of Social Work</w:t>
      </w:r>
      <w:r w:rsidRPr="00477056">
        <w:rPr>
          <w:rFonts w:ascii="Georgia" w:hAnsi="Georgia"/>
          <w:color w:val="222222"/>
          <w:sz w:val="18"/>
          <w:szCs w:val="20"/>
        </w:rPr>
        <w:t xml:space="preserve">, </w:t>
      </w:r>
      <w:r w:rsidRPr="00477056">
        <w:rPr>
          <w:rFonts w:ascii="Georgia" w:hAnsi="Georgia"/>
          <w:i/>
          <w:iCs/>
          <w:color w:val="222222"/>
          <w:sz w:val="18"/>
          <w:szCs w:val="20"/>
        </w:rPr>
        <w:t>21</w:t>
      </w:r>
      <w:r w:rsidRPr="00477056">
        <w:rPr>
          <w:rFonts w:ascii="Georgia" w:hAnsi="Georgia"/>
          <w:color w:val="222222"/>
          <w:sz w:val="18"/>
          <w:szCs w:val="20"/>
        </w:rPr>
        <w:t>, 1278</w:t>
      </w:r>
      <w:r w:rsidRPr="00477056">
        <w:rPr>
          <w:rFonts w:ascii="Georgia" w:hAnsi="Georgia"/>
          <w:sz w:val="18"/>
          <w:szCs w:val="20"/>
        </w:rPr>
        <w:t>–</w:t>
      </w:r>
      <w:r w:rsidRPr="00477056">
        <w:rPr>
          <w:rFonts w:ascii="Georgia" w:hAnsi="Georgia"/>
          <w:color w:val="222222"/>
          <w:sz w:val="18"/>
          <w:szCs w:val="20"/>
        </w:rPr>
        <w:t>1298.</w:t>
      </w:r>
      <w:r w:rsidRPr="00477056">
        <w:rPr>
          <w:rFonts w:ascii="Georgia" w:hAnsi="Georgia"/>
          <w:sz w:val="18"/>
          <w:szCs w:val="20"/>
        </w:rPr>
        <w:t xml:space="preserve"> </w:t>
      </w:r>
      <w:hyperlink r:id="rId15" w:history="1">
        <w:r w:rsidRPr="00477056">
          <w:rPr>
            <w:rStyle w:val="Hyperlink"/>
            <w:rFonts w:ascii="Georgia" w:hAnsi="Georgia"/>
            <w:sz w:val="18"/>
            <w:szCs w:val="20"/>
          </w:rPr>
          <w:t>https://doi.org/10.1177/1468017320952241</w:t>
        </w:r>
      </w:hyperlink>
    </w:p>
    <w:p w14:paraId="41181971" w14:textId="77777777" w:rsidR="00493C94" w:rsidRDefault="00477056" w:rsidP="00493C94">
      <w:pPr>
        <w:keepNext/>
        <w:keepLines/>
        <w:shd w:val="clear" w:color="auto" w:fill="FFFFFF"/>
        <w:bidi w:val="0"/>
        <w:ind w:left="397" w:hanging="397"/>
        <w:jc w:val="both"/>
        <w:rPr>
          <w:rFonts w:ascii="Georgia" w:hAnsi="Georgia"/>
          <w:sz w:val="18"/>
          <w:szCs w:val="20"/>
          <w:rtl/>
        </w:rPr>
      </w:pPr>
      <w:r w:rsidRPr="00477056">
        <w:rPr>
          <w:rFonts w:ascii="Georgia" w:hAnsi="Georgia"/>
          <w:sz w:val="18"/>
          <w:szCs w:val="20"/>
        </w:rPr>
        <w:t>Ali-Saleh-</w:t>
      </w:r>
      <w:proofErr w:type="spellStart"/>
      <w:r w:rsidRPr="00477056">
        <w:rPr>
          <w:rFonts w:ascii="Georgia" w:hAnsi="Georgia"/>
          <w:sz w:val="18"/>
          <w:szCs w:val="20"/>
        </w:rPr>
        <w:t>Darawshy</w:t>
      </w:r>
      <w:proofErr w:type="spellEnd"/>
      <w:r w:rsidRPr="00477056">
        <w:rPr>
          <w:rFonts w:ascii="Georgia" w:hAnsi="Georgia"/>
          <w:sz w:val="18"/>
          <w:szCs w:val="20"/>
        </w:rPr>
        <w:t xml:space="preserve">, N., Lev, S., &amp; Weiss-Dagan, S. (2023). Voicing or silence: Palestinian Israeli and Jewish Israeli social workers’ relationships during political turmoil. </w:t>
      </w:r>
      <w:r w:rsidRPr="00477056">
        <w:rPr>
          <w:rFonts w:ascii="Georgia" w:hAnsi="Georgia"/>
          <w:i/>
          <w:iCs/>
          <w:sz w:val="18"/>
          <w:szCs w:val="20"/>
        </w:rPr>
        <w:t>The</w:t>
      </w:r>
      <w:r w:rsidRPr="00477056">
        <w:rPr>
          <w:rFonts w:ascii="Georgia" w:hAnsi="Georgia"/>
          <w:sz w:val="18"/>
          <w:szCs w:val="20"/>
        </w:rPr>
        <w:t xml:space="preserve"> </w:t>
      </w:r>
      <w:r w:rsidRPr="00477056">
        <w:rPr>
          <w:rFonts w:ascii="Georgia" w:hAnsi="Georgia"/>
          <w:i/>
          <w:iCs/>
          <w:sz w:val="18"/>
          <w:szCs w:val="20"/>
        </w:rPr>
        <w:t>British Journal of Social Work</w:t>
      </w:r>
      <w:r w:rsidRPr="00477056">
        <w:rPr>
          <w:rFonts w:ascii="Georgia" w:hAnsi="Georgia"/>
          <w:sz w:val="18"/>
          <w:szCs w:val="20"/>
        </w:rPr>
        <w:t>,</w:t>
      </w:r>
      <w:r w:rsidRPr="00477056">
        <w:rPr>
          <w:rFonts w:ascii="Georgia" w:hAnsi="Georgia"/>
          <w:i/>
          <w:iCs/>
          <w:sz w:val="18"/>
          <w:szCs w:val="20"/>
        </w:rPr>
        <w:t xml:space="preserve"> 54</w:t>
      </w:r>
      <w:r w:rsidRPr="00477056">
        <w:rPr>
          <w:rFonts w:ascii="Georgia" w:hAnsi="Georgia"/>
          <w:sz w:val="18"/>
          <w:szCs w:val="20"/>
        </w:rPr>
        <w:t>(2), 587–606.</w:t>
      </w:r>
      <w:r w:rsidRPr="00477056">
        <w:rPr>
          <w:rFonts w:ascii="Georgia" w:hAnsi="Georgia"/>
          <w:sz w:val="18"/>
          <w:szCs w:val="20"/>
          <w:rtl/>
        </w:rPr>
        <w:t>‏</w:t>
      </w:r>
      <w:r w:rsidRPr="00477056">
        <w:rPr>
          <w:rFonts w:ascii="Georgia" w:hAnsi="Georgia"/>
          <w:sz w:val="18"/>
          <w:szCs w:val="20"/>
        </w:rPr>
        <w:t xml:space="preserve"> </w:t>
      </w:r>
    </w:p>
    <w:p w14:paraId="601494EC" w14:textId="101DB072" w:rsidR="00477056" w:rsidRPr="00477056" w:rsidRDefault="00493C94" w:rsidP="00493C94">
      <w:pPr>
        <w:shd w:val="clear" w:color="auto" w:fill="FFFFFF"/>
        <w:bidi w:val="0"/>
        <w:spacing w:after="120"/>
        <w:ind w:left="397"/>
        <w:jc w:val="both"/>
        <w:rPr>
          <w:rFonts w:ascii="Georgia" w:hAnsi="Georgia"/>
          <w:sz w:val="18"/>
          <w:szCs w:val="20"/>
        </w:rPr>
      </w:pPr>
      <w:hyperlink r:id="rId16" w:history="1">
        <w:r w:rsidRPr="00597FB3">
          <w:rPr>
            <w:rStyle w:val="Hyperlink"/>
            <w:rFonts w:ascii="Georgia" w:hAnsi="Georgia"/>
            <w:sz w:val="18"/>
            <w:szCs w:val="20"/>
          </w:rPr>
          <w:t>https://doi.org/10.1093/bjsw/bcad219</w:t>
        </w:r>
      </w:hyperlink>
    </w:p>
    <w:p w14:paraId="36485532" w14:textId="77777777" w:rsidR="00493C94" w:rsidRDefault="00477056" w:rsidP="00493C94">
      <w:pPr>
        <w:keepNext/>
        <w:keepLines/>
        <w:shd w:val="clear" w:color="auto" w:fill="FFFFFF"/>
        <w:bidi w:val="0"/>
        <w:ind w:left="397" w:hanging="397"/>
        <w:jc w:val="both"/>
        <w:rPr>
          <w:rFonts w:ascii="Georgia" w:hAnsi="Georgia"/>
          <w:sz w:val="18"/>
          <w:szCs w:val="20"/>
          <w:rtl/>
        </w:rPr>
      </w:pPr>
      <w:r w:rsidRPr="00477056">
        <w:rPr>
          <w:rFonts w:ascii="Georgia" w:hAnsi="Georgia"/>
          <w:sz w:val="18"/>
          <w:szCs w:val="20"/>
        </w:rPr>
        <w:t>Al-</w:t>
      </w:r>
      <w:proofErr w:type="spellStart"/>
      <w:r w:rsidRPr="00477056">
        <w:rPr>
          <w:rFonts w:ascii="Georgia" w:hAnsi="Georgia"/>
          <w:sz w:val="18"/>
          <w:szCs w:val="20"/>
        </w:rPr>
        <w:t>Krenawi</w:t>
      </w:r>
      <w:proofErr w:type="spellEnd"/>
      <w:r w:rsidRPr="00477056">
        <w:rPr>
          <w:rFonts w:ascii="Georgia" w:hAnsi="Georgia"/>
          <w:sz w:val="18"/>
          <w:szCs w:val="20"/>
        </w:rPr>
        <w:t xml:space="preserve">, A. (2002). Mental health service utilization among the Arabs in Israel. </w:t>
      </w:r>
      <w:r w:rsidRPr="00477056">
        <w:rPr>
          <w:rFonts w:ascii="Georgia" w:hAnsi="Georgia"/>
          <w:i/>
          <w:iCs/>
          <w:sz w:val="18"/>
          <w:szCs w:val="20"/>
        </w:rPr>
        <w:t>Social Work in Health Care</w:t>
      </w:r>
      <w:r w:rsidRPr="00477056">
        <w:rPr>
          <w:rFonts w:ascii="Georgia" w:hAnsi="Georgia"/>
          <w:sz w:val="18"/>
          <w:szCs w:val="20"/>
        </w:rPr>
        <w:t xml:space="preserve">, </w:t>
      </w:r>
      <w:r w:rsidRPr="00477056">
        <w:rPr>
          <w:rFonts w:ascii="Georgia" w:hAnsi="Georgia"/>
          <w:i/>
          <w:iCs/>
          <w:sz w:val="18"/>
          <w:szCs w:val="20"/>
        </w:rPr>
        <w:t>35</w:t>
      </w:r>
      <w:r w:rsidRPr="00477056">
        <w:rPr>
          <w:rFonts w:ascii="Georgia" w:hAnsi="Georgia"/>
          <w:sz w:val="18"/>
          <w:szCs w:val="20"/>
        </w:rPr>
        <w:t xml:space="preserve">, 577–589. </w:t>
      </w:r>
    </w:p>
    <w:p w14:paraId="10A21102" w14:textId="44EBFB77" w:rsidR="00477056" w:rsidRPr="00477056" w:rsidRDefault="00493C94" w:rsidP="00493C94">
      <w:pPr>
        <w:bidi w:val="0"/>
        <w:spacing w:after="120"/>
        <w:ind w:left="397"/>
        <w:jc w:val="both"/>
        <w:rPr>
          <w:rFonts w:ascii="Georgia" w:hAnsi="Georgia"/>
          <w:sz w:val="18"/>
          <w:szCs w:val="20"/>
        </w:rPr>
      </w:pPr>
      <w:hyperlink r:id="rId17" w:history="1">
        <w:r w:rsidRPr="00597FB3">
          <w:rPr>
            <w:rStyle w:val="Hyperlink"/>
            <w:rFonts w:ascii="Georgia" w:hAnsi="Georgia"/>
            <w:sz w:val="18"/>
            <w:szCs w:val="20"/>
          </w:rPr>
          <w:t>https://doi.org/10.1300/j010v35n01_12</w:t>
        </w:r>
      </w:hyperlink>
    </w:p>
    <w:p w14:paraId="74E8F1C3" w14:textId="77777777" w:rsidR="00493C94" w:rsidRDefault="00477056" w:rsidP="00493C94">
      <w:pPr>
        <w:keepNext/>
        <w:keepLines/>
        <w:shd w:val="clear" w:color="auto" w:fill="FFFFFF"/>
        <w:bidi w:val="0"/>
        <w:ind w:left="397" w:hanging="397"/>
        <w:jc w:val="both"/>
        <w:rPr>
          <w:rFonts w:ascii="Georgia" w:hAnsi="Georgia"/>
          <w:sz w:val="18"/>
          <w:szCs w:val="20"/>
          <w:rtl/>
        </w:rPr>
      </w:pPr>
      <w:r w:rsidRPr="00477056">
        <w:rPr>
          <w:rFonts w:ascii="Georgia" w:hAnsi="Georgia"/>
          <w:sz w:val="18"/>
          <w:szCs w:val="20"/>
        </w:rPr>
        <w:lastRenderedPageBreak/>
        <w:t>Al-</w:t>
      </w:r>
      <w:proofErr w:type="spellStart"/>
      <w:r w:rsidRPr="00477056">
        <w:rPr>
          <w:rFonts w:ascii="Georgia" w:hAnsi="Georgia"/>
          <w:sz w:val="18"/>
          <w:szCs w:val="20"/>
        </w:rPr>
        <w:t>Krenawi</w:t>
      </w:r>
      <w:proofErr w:type="spellEnd"/>
      <w:r w:rsidRPr="00477056">
        <w:rPr>
          <w:rFonts w:ascii="Georgia" w:hAnsi="Georgia"/>
          <w:sz w:val="18"/>
          <w:szCs w:val="20"/>
        </w:rPr>
        <w:t xml:space="preserve">, A., &amp; Graham, J. R. (2000). Culturally sensitive social work practice with Arab clients in mental health settings. </w:t>
      </w:r>
      <w:r w:rsidRPr="00477056">
        <w:rPr>
          <w:rFonts w:ascii="Georgia" w:hAnsi="Georgia"/>
          <w:i/>
          <w:iCs/>
          <w:sz w:val="18"/>
          <w:szCs w:val="20"/>
        </w:rPr>
        <w:t>Health &amp; Social Work</w:t>
      </w:r>
      <w:r w:rsidRPr="00477056">
        <w:rPr>
          <w:rFonts w:ascii="Georgia" w:hAnsi="Georgia"/>
          <w:sz w:val="18"/>
          <w:szCs w:val="20"/>
        </w:rPr>
        <w:t xml:space="preserve">, 25, 9–22. </w:t>
      </w:r>
    </w:p>
    <w:p w14:paraId="34732317" w14:textId="4AD21EC0" w:rsidR="00477056" w:rsidRPr="00477056" w:rsidRDefault="00493C94" w:rsidP="00493C94">
      <w:pPr>
        <w:bidi w:val="0"/>
        <w:spacing w:after="120"/>
        <w:ind w:left="397"/>
        <w:jc w:val="both"/>
        <w:rPr>
          <w:rFonts w:ascii="Georgia" w:hAnsi="Georgia"/>
          <w:sz w:val="18"/>
          <w:szCs w:val="20"/>
        </w:rPr>
      </w:pPr>
      <w:hyperlink r:id="rId18" w:history="1">
        <w:r w:rsidRPr="00597FB3">
          <w:rPr>
            <w:rStyle w:val="Hyperlink"/>
            <w:rFonts w:ascii="Georgia" w:hAnsi="Georgia"/>
            <w:sz w:val="18"/>
            <w:szCs w:val="20"/>
          </w:rPr>
          <w:t>https://doi.org/10.1093/hsw/25.1.9</w:t>
        </w:r>
      </w:hyperlink>
    </w:p>
    <w:p w14:paraId="3E085EF2" w14:textId="71A45938" w:rsidR="00493C94" w:rsidRDefault="00477056" w:rsidP="00493C94">
      <w:pPr>
        <w:keepNext/>
        <w:keepLines/>
        <w:shd w:val="clear" w:color="auto" w:fill="FFFFFF"/>
        <w:bidi w:val="0"/>
        <w:ind w:left="397" w:hanging="397"/>
        <w:jc w:val="both"/>
        <w:rPr>
          <w:rFonts w:ascii="Georgia" w:hAnsi="Georgia"/>
          <w:sz w:val="18"/>
          <w:szCs w:val="20"/>
          <w:rtl/>
        </w:rPr>
      </w:pPr>
      <w:r w:rsidRPr="00477056">
        <w:rPr>
          <w:rFonts w:ascii="Georgia" w:hAnsi="Georgia"/>
          <w:sz w:val="18"/>
          <w:szCs w:val="20"/>
        </w:rPr>
        <w:t>Al</w:t>
      </w:r>
      <w:r w:rsidRPr="00477056">
        <w:rPr>
          <w:rFonts w:ascii="Cambria Math" w:hAnsi="Cambria Math" w:cs="Cambria Math"/>
          <w:sz w:val="18"/>
          <w:szCs w:val="20"/>
        </w:rPr>
        <w:t>‐</w:t>
      </w:r>
      <w:proofErr w:type="spellStart"/>
      <w:r w:rsidRPr="00477056">
        <w:rPr>
          <w:rFonts w:ascii="Georgia" w:hAnsi="Georgia"/>
          <w:sz w:val="18"/>
          <w:szCs w:val="20"/>
        </w:rPr>
        <w:t>Krenawi</w:t>
      </w:r>
      <w:proofErr w:type="spellEnd"/>
      <w:r w:rsidRPr="00477056">
        <w:rPr>
          <w:rFonts w:ascii="Georgia" w:hAnsi="Georgia"/>
          <w:sz w:val="18"/>
          <w:szCs w:val="20"/>
        </w:rPr>
        <w:t>, A., &amp; Graham, J. R. (2001). The cultural mediator: Bridging the gap between a non</w:t>
      </w:r>
      <w:r w:rsidRPr="00477056">
        <w:rPr>
          <w:rFonts w:ascii="Cambria Math" w:hAnsi="Cambria Math" w:cs="Cambria Math"/>
          <w:sz w:val="18"/>
          <w:szCs w:val="20"/>
        </w:rPr>
        <w:t>‐</w:t>
      </w:r>
      <w:r w:rsidRPr="00477056">
        <w:rPr>
          <w:rFonts w:ascii="Georgia" w:hAnsi="Georgia"/>
          <w:sz w:val="18"/>
          <w:szCs w:val="20"/>
        </w:rPr>
        <w:t>western community and professional social work practice.</w:t>
      </w:r>
      <w:r w:rsidR="00493C94">
        <w:rPr>
          <w:rFonts w:ascii="Georgia" w:hAnsi="Georgia" w:hint="cs"/>
          <w:sz w:val="18"/>
          <w:szCs w:val="20"/>
          <w:rtl/>
        </w:rPr>
        <w:t xml:space="preserve"> </w:t>
      </w:r>
      <w:r w:rsidRPr="00477056">
        <w:rPr>
          <w:rFonts w:ascii="Georgia" w:hAnsi="Georgia"/>
          <w:i/>
          <w:iCs/>
          <w:sz w:val="18"/>
          <w:szCs w:val="20"/>
        </w:rPr>
        <w:t>British Journal of Social Work</w:t>
      </w:r>
      <w:r w:rsidRPr="00477056">
        <w:rPr>
          <w:rFonts w:ascii="Georgia" w:hAnsi="Georgia"/>
          <w:sz w:val="18"/>
          <w:szCs w:val="20"/>
        </w:rPr>
        <w:t xml:space="preserve">, </w:t>
      </w:r>
      <w:r w:rsidRPr="00477056">
        <w:rPr>
          <w:rFonts w:ascii="Georgia" w:hAnsi="Georgia"/>
          <w:i/>
          <w:iCs/>
          <w:sz w:val="18"/>
          <w:szCs w:val="20"/>
        </w:rPr>
        <w:t>31</w:t>
      </w:r>
      <w:r w:rsidRPr="00477056">
        <w:rPr>
          <w:rFonts w:ascii="Georgia" w:hAnsi="Georgia"/>
          <w:sz w:val="18"/>
          <w:szCs w:val="20"/>
        </w:rPr>
        <w:t xml:space="preserve">, 665–685. </w:t>
      </w:r>
    </w:p>
    <w:p w14:paraId="4015E706" w14:textId="3DAE2C8E" w:rsidR="00477056" w:rsidRPr="00477056" w:rsidRDefault="00493C94" w:rsidP="00493C94">
      <w:pPr>
        <w:bidi w:val="0"/>
        <w:spacing w:after="120"/>
        <w:ind w:left="397"/>
        <w:jc w:val="both"/>
        <w:rPr>
          <w:rFonts w:ascii="Georgia" w:hAnsi="Georgia"/>
          <w:sz w:val="18"/>
          <w:szCs w:val="20"/>
        </w:rPr>
      </w:pPr>
      <w:hyperlink r:id="rId19" w:history="1">
        <w:r w:rsidRPr="00597FB3">
          <w:rPr>
            <w:rStyle w:val="Hyperlink"/>
            <w:rFonts w:ascii="Georgia" w:hAnsi="Georgia"/>
            <w:sz w:val="18"/>
            <w:szCs w:val="20"/>
          </w:rPr>
          <w:t>https://doi.org/10.1093/bjsw/31.5.665</w:t>
        </w:r>
      </w:hyperlink>
    </w:p>
    <w:p w14:paraId="0ADE3D47" w14:textId="77777777" w:rsidR="00493C94" w:rsidRDefault="00477056" w:rsidP="00493C94">
      <w:pPr>
        <w:keepNext/>
        <w:keepLines/>
        <w:shd w:val="clear" w:color="auto" w:fill="FFFFFF"/>
        <w:bidi w:val="0"/>
        <w:ind w:left="397" w:hanging="397"/>
        <w:jc w:val="both"/>
        <w:rPr>
          <w:rFonts w:ascii="Georgia" w:hAnsi="Georgia"/>
          <w:sz w:val="18"/>
          <w:szCs w:val="20"/>
          <w:rtl/>
        </w:rPr>
      </w:pPr>
      <w:r w:rsidRPr="00477056">
        <w:rPr>
          <w:rFonts w:ascii="Georgia" w:hAnsi="Georgia"/>
          <w:sz w:val="18"/>
          <w:szCs w:val="20"/>
        </w:rPr>
        <w:t>Al-</w:t>
      </w:r>
      <w:proofErr w:type="spellStart"/>
      <w:r w:rsidRPr="00477056">
        <w:rPr>
          <w:rFonts w:ascii="Georgia" w:hAnsi="Georgia"/>
          <w:sz w:val="18"/>
          <w:szCs w:val="20"/>
        </w:rPr>
        <w:t>Krenawi</w:t>
      </w:r>
      <w:proofErr w:type="spellEnd"/>
      <w:r w:rsidRPr="00477056">
        <w:rPr>
          <w:rFonts w:ascii="Georgia" w:hAnsi="Georgia"/>
          <w:sz w:val="18"/>
          <w:szCs w:val="20"/>
        </w:rPr>
        <w:t xml:space="preserve">, A., Graham, J., &amp; Izzeldin, A. (2001). The psychosocial impact of polygamous marriages on Palestinian women. </w:t>
      </w:r>
      <w:r w:rsidRPr="00477056">
        <w:rPr>
          <w:rFonts w:ascii="Georgia" w:hAnsi="Georgia"/>
          <w:i/>
          <w:iCs/>
          <w:sz w:val="18"/>
          <w:szCs w:val="20"/>
        </w:rPr>
        <w:t>Women &amp; Health</w:t>
      </w:r>
      <w:r w:rsidRPr="00477056">
        <w:rPr>
          <w:rFonts w:ascii="Georgia" w:hAnsi="Georgia"/>
          <w:sz w:val="18"/>
          <w:szCs w:val="20"/>
        </w:rPr>
        <w:t>,</w:t>
      </w:r>
      <w:r w:rsidRPr="00477056">
        <w:rPr>
          <w:rFonts w:ascii="Georgia" w:hAnsi="Georgia"/>
          <w:i/>
          <w:iCs/>
          <w:sz w:val="18"/>
          <w:szCs w:val="20"/>
        </w:rPr>
        <w:t xml:space="preserve"> 34</w:t>
      </w:r>
      <w:r w:rsidRPr="00477056">
        <w:rPr>
          <w:rFonts w:ascii="Georgia" w:hAnsi="Georgia"/>
          <w:sz w:val="18"/>
          <w:szCs w:val="20"/>
        </w:rPr>
        <w:t>, 1–16</w:t>
      </w:r>
      <w:r w:rsidRPr="00477056">
        <w:rPr>
          <w:rFonts w:ascii="Georgia" w:hAnsi="Georgia"/>
          <w:sz w:val="18"/>
          <w:szCs w:val="20"/>
          <w:rtl/>
        </w:rPr>
        <w:t>.‏</w:t>
      </w:r>
      <w:r w:rsidRPr="00477056">
        <w:rPr>
          <w:rFonts w:ascii="Georgia" w:hAnsi="Georgia"/>
          <w:sz w:val="18"/>
          <w:szCs w:val="20"/>
        </w:rPr>
        <w:t xml:space="preserve"> </w:t>
      </w:r>
    </w:p>
    <w:p w14:paraId="234C9777" w14:textId="7809DC82" w:rsidR="00477056" w:rsidRPr="00477056" w:rsidRDefault="00493C94" w:rsidP="00493C94">
      <w:pPr>
        <w:bidi w:val="0"/>
        <w:spacing w:after="120"/>
        <w:ind w:left="397"/>
        <w:jc w:val="both"/>
        <w:rPr>
          <w:rFonts w:ascii="Georgia" w:hAnsi="Georgia"/>
          <w:sz w:val="18"/>
          <w:szCs w:val="20"/>
        </w:rPr>
      </w:pPr>
      <w:hyperlink r:id="rId20" w:history="1">
        <w:r w:rsidRPr="00597FB3">
          <w:rPr>
            <w:rStyle w:val="Hyperlink"/>
            <w:rFonts w:ascii="Georgia" w:hAnsi="Georgia"/>
            <w:sz w:val="18"/>
            <w:szCs w:val="20"/>
          </w:rPr>
          <w:t>https://doi.org/10.1300/j013v34n01_01</w:t>
        </w:r>
      </w:hyperlink>
    </w:p>
    <w:p w14:paraId="4C5B723E" w14:textId="77777777" w:rsidR="00477056" w:rsidRPr="00477056" w:rsidRDefault="00477056" w:rsidP="00493C94">
      <w:pPr>
        <w:bidi w:val="0"/>
        <w:spacing w:after="120"/>
        <w:ind w:left="397" w:hanging="397"/>
        <w:jc w:val="both"/>
        <w:rPr>
          <w:rFonts w:ascii="Georgia" w:hAnsi="Georgia"/>
          <w:sz w:val="18"/>
          <w:szCs w:val="20"/>
        </w:rPr>
      </w:pPr>
      <w:r w:rsidRPr="00477056">
        <w:rPr>
          <w:rFonts w:ascii="Georgia" w:hAnsi="Georgia"/>
          <w:sz w:val="18"/>
          <w:szCs w:val="20"/>
        </w:rPr>
        <w:t>Al-</w:t>
      </w:r>
      <w:proofErr w:type="spellStart"/>
      <w:r w:rsidRPr="00477056">
        <w:rPr>
          <w:rFonts w:ascii="Georgia" w:hAnsi="Georgia"/>
          <w:sz w:val="18"/>
          <w:szCs w:val="20"/>
        </w:rPr>
        <w:t>Krenawi</w:t>
      </w:r>
      <w:proofErr w:type="spellEnd"/>
      <w:r w:rsidRPr="00477056">
        <w:rPr>
          <w:rFonts w:ascii="Georgia" w:hAnsi="Georgia"/>
          <w:sz w:val="18"/>
          <w:szCs w:val="20"/>
        </w:rPr>
        <w:t>, A., &amp; Jackson, S. O. (2015). Dilemmas in practicing social work with indigenous people: The Arab case. </w:t>
      </w:r>
      <w:r w:rsidRPr="00477056">
        <w:rPr>
          <w:rFonts w:ascii="Georgia" w:hAnsi="Georgia"/>
          <w:i/>
          <w:iCs/>
          <w:sz w:val="18"/>
          <w:szCs w:val="20"/>
        </w:rPr>
        <w:t>International Journal of Child Health and Human Development</w:t>
      </w:r>
      <w:r w:rsidRPr="00477056">
        <w:rPr>
          <w:rFonts w:ascii="Georgia" w:hAnsi="Georgia"/>
          <w:sz w:val="18"/>
          <w:szCs w:val="20"/>
        </w:rPr>
        <w:t xml:space="preserve">, </w:t>
      </w:r>
      <w:r w:rsidRPr="00477056">
        <w:rPr>
          <w:rFonts w:ascii="Georgia" w:hAnsi="Georgia"/>
          <w:i/>
          <w:iCs/>
          <w:sz w:val="18"/>
          <w:szCs w:val="20"/>
        </w:rPr>
        <w:t>8</w:t>
      </w:r>
      <w:r w:rsidRPr="00477056">
        <w:rPr>
          <w:rFonts w:ascii="Georgia" w:hAnsi="Georgia"/>
          <w:sz w:val="18"/>
          <w:szCs w:val="20"/>
        </w:rPr>
        <w:t xml:space="preserve">, 115–131. </w:t>
      </w:r>
    </w:p>
    <w:p w14:paraId="5AB60B96" w14:textId="77777777" w:rsidR="00493C94" w:rsidRDefault="00477056" w:rsidP="00493C94">
      <w:pPr>
        <w:keepNext/>
        <w:keepLines/>
        <w:shd w:val="clear" w:color="auto" w:fill="FFFFFF"/>
        <w:bidi w:val="0"/>
        <w:ind w:left="397" w:hanging="397"/>
        <w:jc w:val="both"/>
        <w:rPr>
          <w:rFonts w:ascii="Georgia" w:hAnsi="Georgia"/>
          <w:sz w:val="18"/>
          <w:szCs w:val="20"/>
          <w:rtl/>
        </w:rPr>
      </w:pPr>
      <w:r w:rsidRPr="00477056">
        <w:rPr>
          <w:rFonts w:ascii="Georgia" w:hAnsi="Georgia"/>
          <w:sz w:val="18"/>
          <w:szCs w:val="20"/>
        </w:rPr>
        <w:t xml:space="preserve">Al-Naser, F. (2005). Kuwait’s families. In B. N. Adams &amp; J. Trost (Eds.), </w:t>
      </w:r>
      <w:r w:rsidRPr="00477056">
        <w:rPr>
          <w:rFonts w:ascii="Georgia" w:hAnsi="Georgia"/>
          <w:i/>
          <w:iCs/>
          <w:sz w:val="18"/>
          <w:szCs w:val="20"/>
        </w:rPr>
        <w:t>Handbook of world families</w:t>
      </w:r>
      <w:r w:rsidRPr="00477056">
        <w:rPr>
          <w:rFonts w:ascii="Georgia" w:hAnsi="Georgia"/>
          <w:sz w:val="18"/>
          <w:szCs w:val="20"/>
        </w:rPr>
        <w:t xml:space="preserve"> (pp. 507–535). Sage. </w:t>
      </w:r>
    </w:p>
    <w:p w14:paraId="6B3A8F56" w14:textId="155EDFD7" w:rsidR="00477056" w:rsidRPr="00477056" w:rsidRDefault="00493C94" w:rsidP="00493C94">
      <w:pPr>
        <w:bidi w:val="0"/>
        <w:spacing w:after="120"/>
        <w:ind w:left="397"/>
        <w:jc w:val="both"/>
        <w:rPr>
          <w:rFonts w:ascii="Georgia" w:hAnsi="Georgia"/>
          <w:sz w:val="18"/>
          <w:szCs w:val="20"/>
        </w:rPr>
      </w:pPr>
      <w:hyperlink r:id="rId21" w:history="1">
        <w:r w:rsidRPr="00597FB3">
          <w:rPr>
            <w:rStyle w:val="Hyperlink"/>
            <w:rFonts w:ascii="Georgia" w:hAnsi="Georgia"/>
            <w:sz w:val="18"/>
            <w:szCs w:val="20"/>
          </w:rPr>
          <w:t>https://doi.org/10.4135/9781412975957.n23</w:t>
        </w:r>
      </w:hyperlink>
    </w:p>
    <w:p w14:paraId="074B6EE4" w14:textId="77777777" w:rsidR="00493C94" w:rsidRDefault="00477056" w:rsidP="00493C94">
      <w:pPr>
        <w:keepNext/>
        <w:keepLines/>
        <w:shd w:val="clear" w:color="auto" w:fill="FFFFFF"/>
        <w:bidi w:val="0"/>
        <w:ind w:left="397" w:hanging="397"/>
        <w:jc w:val="both"/>
        <w:rPr>
          <w:rFonts w:ascii="Georgia" w:hAnsi="Georgia"/>
          <w:sz w:val="18"/>
          <w:szCs w:val="20"/>
          <w:rtl/>
        </w:rPr>
      </w:pPr>
      <w:proofErr w:type="spellStart"/>
      <w:r w:rsidRPr="00477056">
        <w:rPr>
          <w:rFonts w:ascii="Georgia" w:hAnsi="Georgia"/>
          <w:sz w:val="18"/>
          <w:szCs w:val="20"/>
        </w:rPr>
        <w:t>Athamneh</w:t>
      </w:r>
      <w:proofErr w:type="spellEnd"/>
      <w:r w:rsidRPr="00477056">
        <w:rPr>
          <w:rFonts w:ascii="Georgia" w:hAnsi="Georgia"/>
          <w:sz w:val="18"/>
          <w:szCs w:val="20"/>
        </w:rPr>
        <w:t xml:space="preserve">, S., &amp; Benjamin, O. (2021). Mothers’ responsibility as transmitters of gendered moral rationalities: Working-class Palestinian mothers living in Israel. </w:t>
      </w:r>
      <w:r w:rsidRPr="00477056">
        <w:rPr>
          <w:rFonts w:ascii="Georgia" w:hAnsi="Georgia"/>
          <w:i/>
          <w:iCs/>
          <w:sz w:val="18"/>
          <w:szCs w:val="20"/>
        </w:rPr>
        <w:t>British Journal of Sociology of Education</w:t>
      </w:r>
      <w:r w:rsidRPr="00477056">
        <w:rPr>
          <w:rFonts w:ascii="Georgia" w:hAnsi="Georgia"/>
          <w:sz w:val="18"/>
          <w:szCs w:val="20"/>
        </w:rPr>
        <w:t>,</w:t>
      </w:r>
      <w:r w:rsidRPr="00477056">
        <w:rPr>
          <w:rFonts w:ascii="Georgia" w:hAnsi="Georgia"/>
          <w:i/>
          <w:iCs/>
          <w:sz w:val="18"/>
          <w:szCs w:val="20"/>
        </w:rPr>
        <w:t xml:space="preserve"> 42</w:t>
      </w:r>
      <w:r w:rsidRPr="00477056">
        <w:rPr>
          <w:rFonts w:ascii="Georgia" w:hAnsi="Georgia"/>
          <w:sz w:val="18"/>
          <w:szCs w:val="20"/>
        </w:rPr>
        <w:t>, 571–587.</w:t>
      </w:r>
      <w:r w:rsidRPr="00477056">
        <w:rPr>
          <w:rFonts w:ascii="Georgia" w:hAnsi="Georgia"/>
          <w:sz w:val="18"/>
          <w:szCs w:val="20"/>
          <w:rtl/>
        </w:rPr>
        <w:t>‏</w:t>
      </w:r>
      <w:r w:rsidRPr="00477056">
        <w:rPr>
          <w:rFonts w:ascii="Georgia" w:hAnsi="Georgia"/>
          <w:sz w:val="18"/>
          <w:szCs w:val="20"/>
        </w:rPr>
        <w:t xml:space="preserve"> </w:t>
      </w:r>
    </w:p>
    <w:p w14:paraId="4099B5C7" w14:textId="74331D3C" w:rsidR="00477056" w:rsidRPr="00477056" w:rsidRDefault="00493C94" w:rsidP="00493C94">
      <w:pPr>
        <w:bidi w:val="0"/>
        <w:spacing w:after="120"/>
        <w:ind w:left="397"/>
        <w:jc w:val="both"/>
        <w:rPr>
          <w:rFonts w:ascii="Georgia" w:hAnsi="Georgia"/>
          <w:sz w:val="18"/>
          <w:szCs w:val="20"/>
        </w:rPr>
      </w:pPr>
      <w:hyperlink r:id="rId22" w:history="1">
        <w:r w:rsidRPr="00597FB3">
          <w:rPr>
            <w:rStyle w:val="Hyperlink"/>
            <w:rFonts w:ascii="Georgia" w:hAnsi="Georgia"/>
            <w:sz w:val="18"/>
            <w:szCs w:val="20"/>
          </w:rPr>
          <w:t>https://doi.org/10.1080/01425692.2021.1902276</w:t>
        </w:r>
      </w:hyperlink>
    </w:p>
    <w:p w14:paraId="5F49344D" w14:textId="26A635EE" w:rsidR="00493C94" w:rsidRDefault="00477056" w:rsidP="00493C94">
      <w:pPr>
        <w:keepNext/>
        <w:keepLines/>
        <w:shd w:val="clear" w:color="auto" w:fill="FFFFFF"/>
        <w:bidi w:val="0"/>
        <w:ind w:left="397" w:hanging="397"/>
        <w:jc w:val="both"/>
        <w:rPr>
          <w:rFonts w:ascii="Georgia" w:hAnsi="Georgia"/>
          <w:sz w:val="18"/>
          <w:szCs w:val="20"/>
          <w:rtl/>
        </w:rPr>
      </w:pPr>
      <w:r w:rsidRPr="00477056">
        <w:rPr>
          <w:rFonts w:ascii="Georgia" w:hAnsi="Georgia"/>
          <w:sz w:val="18"/>
          <w:szCs w:val="20"/>
        </w:rPr>
        <w:t xml:space="preserve">Badran, L., Hejazi, A., &amp; </w:t>
      </w:r>
      <w:proofErr w:type="spellStart"/>
      <w:r w:rsidRPr="00477056">
        <w:rPr>
          <w:rFonts w:ascii="Georgia" w:hAnsi="Georgia"/>
          <w:sz w:val="18"/>
          <w:szCs w:val="20"/>
        </w:rPr>
        <w:t>Rimmerman</w:t>
      </w:r>
      <w:proofErr w:type="spellEnd"/>
      <w:r w:rsidRPr="00477056">
        <w:rPr>
          <w:rFonts w:ascii="Georgia" w:hAnsi="Georgia"/>
          <w:sz w:val="18"/>
          <w:szCs w:val="20"/>
        </w:rPr>
        <w:t xml:space="preserve">, A. (2023). Muslim social workers’ recommendation of parents with mental illness or intellectual disability disorders in vignettes of simulated religious court cases of custody, marriage, and divorce. </w:t>
      </w:r>
      <w:r w:rsidRPr="00477056">
        <w:rPr>
          <w:rFonts w:ascii="Georgia" w:hAnsi="Georgia"/>
          <w:i/>
          <w:iCs/>
          <w:sz w:val="18"/>
          <w:szCs w:val="20"/>
        </w:rPr>
        <w:t>Journal of Religion &amp; Spirituality in Social Work: Social Thought</w:t>
      </w:r>
      <w:r w:rsidRPr="00477056">
        <w:rPr>
          <w:rFonts w:ascii="Georgia" w:hAnsi="Georgia"/>
          <w:sz w:val="18"/>
          <w:szCs w:val="20"/>
        </w:rPr>
        <w:t>,</w:t>
      </w:r>
      <w:r w:rsidRPr="00477056">
        <w:rPr>
          <w:rFonts w:ascii="Georgia" w:hAnsi="Georgia"/>
          <w:i/>
          <w:iCs/>
          <w:sz w:val="18"/>
          <w:szCs w:val="20"/>
        </w:rPr>
        <w:t xml:space="preserve"> 42</w:t>
      </w:r>
      <w:r w:rsidRPr="00477056">
        <w:rPr>
          <w:rFonts w:ascii="Georgia" w:hAnsi="Georgia"/>
          <w:sz w:val="18"/>
          <w:szCs w:val="20"/>
        </w:rPr>
        <w:t>, 302–322.</w:t>
      </w:r>
      <w:r w:rsidRPr="00477056">
        <w:rPr>
          <w:rFonts w:ascii="Georgia" w:hAnsi="Georgia"/>
          <w:sz w:val="18"/>
          <w:szCs w:val="20"/>
          <w:rtl/>
        </w:rPr>
        <w:t>‏</w:t>
      </w:r>
      <w:r w:rsidRPr="00477056">
        <w:rPr>
          <w:rFonts w:ascii="Georgia" w:hAnsi="Georgia"/>
          <w:sz w:val="18"/>
          <w:szCs w:val="20"/>
        </w:rPr>
        <w:t xml:space="preserve"> </w:t>
      </w:r>
    </w:p>
    <w:p w14:paraId="63DF5D8C" w14:textId="56A37B9C" w:rsidR="00477056" w:rsidRPr="00477056" w:rsidRDefault="00493C94" w:rsidP="00493C94">
      <w:pPr>
        <w:bidi w:val="0"/>
        <w:spacing w:after="120"/>
        <w:ind w:left="397"/>
        <w:jc w:val="both"/>
        <w:rPr>
          <w:rFonts w:ascii="Georgia" w:hAnsi="Georgia"/>
          <w:sz w:val="18"/>
          <w:szCs w:val="20"/>
        </w:rPr>
      </w:pPr>
      <w:hyperlink r:id="rId23" w:history="1">
        <w:r w:rsidRPr="00597FB3">
          <w:rPr>
            <w:rStyle w:val="Hyperlink"/>
            <w:rFonts w:ascii="Georgia" w:hAnsi="Georgia"/>
            <w:sz w:val="18"/>
            <w:szCs w:val="20"/>
          </w:rPr>
          <w:t>https://doi.org/10.1080/15426432.2022.2160409</w:t>
        </w:r>
      </w:hyperlink>
    </w:p>
    <w:p w14:paraId="379CFF64" w14:textId="77777777" w:rsidR="00493C94" w:rsidRDefault="00477056" w:rsidP="00493C94">
      <w:pPr>
        <w:keepNext/>
        <w:keepLines/>
        <w:shd w:val="clear" w:color="auto" w:fill="FFFFFF"/>
        <w:bidi w:val="0"/>
        <w:ind w:left="397" w:hanging="397"/>
        <w:jc w:val="both"/>
        <w:rPr>
          <w:rFonts w:ascii="Georgia" w:hAnsi="Georgia"/>
          <w:color w:val="222222"/>
          <w:sz w:val="18"/>
          <w:szCs w:val="20"/>
          <w:rtl/>
        </w:rPr>
      </w:pPr>
      <w:r w:rsidRPr="00477056">
        <w:rPr>
          <w:rFonts w:ascii="Georgia" w:hAnsi="Georgia"/>
          <w:sz w:val="18"/>
          <w:szCs w:val="20"/>
        </w:rPr>
        <w:t xml:space="preserve">Ben-Ari, A., &amp; </w:t>
      </w:r>
      <w:proofErr w:type="spellStart"/>
      <w:r w:rsidRPr="00477056">
        <w:rPr>
          <w:rFonts w:ascii="Georgia" w:hAnsi="Georgia"/>
          <w:sz w:val="18"/>
          <w:szCs w:val="20"/>
        </w:rPr>
        <w:t>Strier</w:t>
      </w:r>
      <w:proofErr w:type="spellEnd"/>
      <w:r w:rsidRPr="00477056">
        <w:rPr>
          <w:rFonts w:ascii="Georgia" w:hAnsi="Georgia"/>
          <w:sz w:val="18"/>
          <w:szCs w:val="20"/>
        </w:rPr>
        <w:t xml:space="preserve">, R. (2010). Rethinking cultural competence: What can we learn from Levinas? </w:t>
      </w:r>
      <w:r w:rsidRPr="00477056">
        <w:rPr>
          <w:rFonts w:ascii="Georgia" w:hAnsi="Georgia"/>
          <w:i/>
          <w:iCs/>
          <w:sz w:val="18"/>
          <w:szCs w:val="20"/>
        </w:rPr>
        <w:t>British Journal of Social Work</w:t>
      </w:r>
      <w:r w:rsidRPr="00477056">
        <w:rPr>
          <w:rFonts w:ascii="Georgia" w:hAnsi="Georgia"/>
          <w:sz w:val="18"/>
          <w:szCs w:val="20"/>
        </w:rPr>
        <w:t>,</w:t>
      </w:r>
      <w:r w:rsidRPr="00477056">
        <w:rPr>
          <w:rFonts w:ascii="Georgia" w:hAnsi="Georgia"/>
          <w:i/>
          <w:iCs/>
          <w:sz w:val="18"/>
          <w:szCs w:val="20"/>
        </w:rPr>
        <w:t xml:space="preserve"> </w:t>
      </w:r>
      <w:r w:rsidRPr="00477056">
        <w:rPr>
          <w:rFonts w:ascii="Georgia" w:hAnsi="Georgia"/>
          <w:i/>
          <w:iCs/>
          <w:color w:val="222222"/>
          <w:sz w:val="18"/>
          <w:szCs w:val="20"/>
        </w:rPr>
        <w:t>40</w:t>
      </w:r>
      <w:r w:rsidRPr="00477056">
        <w:rPr>
          <w:rFonts w:ascii="Georgia" w:hAnsi="Georgia"/>
          <w:color w:val="222222"/>
          <w:sz w:val="18"/>
          <w:szCs w:val="20"/>
        </w:rPr>
        <w:t>, 2155</w:t>
      </w:r>
      <w:r w:rsidRPr="00477056">
        <w:rPr>
          <w:rFonts w:ascii="Georgia" w:hAnsi="Georgia"/>
          <w:sz w:val="18"/>
          <w:szCs w:val="20"/>
        </w:rPr>
        <w:t>–</w:t>
      </w:r>
      <w:r w:rsidRPr="00477056">
        <w:rPr>
          <w:rFonts w:ascii="Georgia" w:hAnsi="Georgia"/>
          <w:color w:val="222222"/>
          <w:sz w:val="18"/>
          <w:szCs w:val="20"/>
        </w:rPr>
        <w:t xml:space="preserve">2167. </w:t>
      </w:r>
    </w:p>
    <w:p w14:paraId="0B149DED" w14:textId="3AB5D2A3" w:rsidR="00477056" w:rsidRPr="00477056" w:rsidRDefault="00493C94" w:rsidP="00493C94">
      <w:pPr>
        <w:bidi w:val="0"/>
        <w:spacing w:after="120"/>
        <w:ind w:left="397"/>
        <w:jc w:val="both"/>
        <w:rPr>
          <w:rFonts w:ascii="Georgia" w:hAnsi="Georgia"/>
          <w:sz w:val="18"/>
          <w:szCs w:val="20"/>
        </w:rPr>
      </w:pPr>
      <w:hyperlink r:id="rId24" w:history="1">
        <w:r w:rsidRPr="00597FB3">
          <w:rPr>
            <w:rStyle w:val="Hyperlink"/>
            <w:rFonts w:ascii="Georgia" w:hAnsi="Georgia"/>
            <w:sz w:val="18"/>
            <w:szCs w:val="20"/>
          </w:rPr>
          <w:t>https://doi.org/10.1093/bjsw/bcp153</w:t>
        </w:r>
      </w:hyperlink>
    </w:p>
    <w:p w14:paraId="70616C6E" w14:textId="77777777" w:rsidR="00493C94" w:rsidRDefault="00477056" w:rsidP="000425F6">
      <w:pPr>
        <w:keepNext/>
        <w:keepLines/>
        <w:shd w:val="clear" w:color="auto" w:fill="FFFFFF"/>
        <w:bidi w:val="0"/>
        <w:spacing w:line="250" w:lineRule="exact"/>
        <w:ind w:left="397" w:hanging="397"/>
        <w:jc w:val="both"/>
        <w:rPr>
          <w:rFonts w:ascii="Georgia" w:hAnsi="Georgia"/>
          <w:sz w:val="18"/>
          <w:szCs w:val="20"/>
          <w:rtl/>
        </w:rPr>
      </w:pPr>
      <w:r w:rsidRPr="00477056">
        <w:rPr>
          <w:rFonts w:ascii="Georgia" w:hAnsi="Georgia"/>
          <w:sz w:val="18"/>
          <w:szCs w:val="20"/>
        </w:rPr>
        <w:t xml:space="preserve">Braun. V., </w:t>
      </w:r>
      <w:r w:rsidRPr="00477056">
        <w:rPr>
          <w:rFonts w:ascii="Georgia" w:hAnsi="Georgia"/>
          <w:sz w:val="18"/>
          <w:szCs w:val="20"/>
          <w:rtl/>
        </w:rPr>
        <w:t>&amp;</w:t>
      </w:r>
      <w:r w:rsidRPr="00477056">
        <w:rPr>
          <w:rFonts w:ascii="Georgia" w:hAnsi="Georgia"/>
          <w:sz w:val="18"/>
          <w:szCs w:val="20"/>
        </w:rPr>
        <w:t xml:space="preserve"> Clarke. V. (2006). Using thematic analysis in psychology. </w:t>
      </w:r>
      <w:r w:rsidRPr="00477056">
        <w:rPr>
          <w:rFonts w:ascii="Georgia" w:hAnsi="Georgia"/>
          <w:i/>
          <w:iCs/>
          <w:sz w:val="18"/>
          <w:szCs w:val="20"/>
        </w:rPr>
        <w:t>Qualitative Research in Psychology</w:t>
      </w:r>
      <w:r w:rsidRPr="00477056">
        <w:rPr>
          <w:rFonts w:ascii="Georgia" w:hAnsi="Georgia"/>
          <w:sz w:val="18"/>
          <w:szCs w:val="20"/>
        </w:rPr>
        <w:t xml:space="preserve">, </w:t>
      </w:r>
      <w:r w:rsidRPr="00477056">
        <w:rPr>
          <w:rFonts w:ascii="Georgia" w:hAnsi="Georgia"/>
          <w:i/>
          <w:iCs/>
          <w:sz w:val="18"/>
          <w:szCs w:val="20"/>
        </w:rPr>
        <w:t>3</w:t>
      </w:r>
      <w:r w:rsidRPr="00477056">
        <w:rPr>
          <w:rFonts w:ascii="Georgia" w:hAnsi="Georgia"/>
          <w:sz w:val="18"/>
          <w:szCs w:val="20"/>
        </w:rPr>
        <w:t xml:space="preserve">, 77–101. </w:t>
      </w:r>
    </w:p>
    <w:p w14:paraId="30FB4D50" w14:textId="7F7FFB33" w:rsidR="00477056" w:rsidRPr="00477056" w:rsidRDefault="00493C94" w:rsidP="000425F6">
      <w:pPr>
        <w:bidi w:val="0"/>
        <w:spacing w:after="120" w:line="250" w:lineRule="exact"/>
        <w:ind w:left="397"/>
        <w:jc w:val="both"/>
        <w:rPr>
          <w:rFonts w:ascii="Georgia" w:hAnsi="Georgia"/>
          <w:sz w:val="18"/>
          <w:szCs w:val="20"/>
        </w:rPr>
      </w:pPr>
      <w:hyperlink r:id="rId25" w:history="1">
        <w:r w:rsidRPr="00597FB3">
          <w:rPr>
            <w:rStyle w:val="Hyperlink"/>
            <w:rFonts w:ascii="Georgia" w:hAnsi="Georgia"/>
            <w:sz w:val="18"/>
            <w:szCs w:val="20"/>
          </w:rPr>
          <w:t>https://doi.org/10.1191/1478088706qp063oa</w:t>
        </w:r>
      </w:hyperlink>
    </w:p>
    <w:p w14:paraId="33D1C317" w14:textId="77777777" w:rsidR="00477056" w:rsidRPr="00477056" w:rsidRDefault="00477056" w:rsidP="000425F6">
      <w:pPr>
        <w:bidi w:val="0"/>
        <w:spacing w:after="120" w:line="250" w:lineRule="exact"/>
        <w:ind w:left="397" w:hanging="397"/>
        <w:jc w:val="both"/>
        <w:rPr>
          <w:rFonts w:ascii="Georgia" w:hAnsi="Georgia"/>
          <w:sz w:val="18"/>
          <w:szCs w:val="20"/>
        </w:rPr>
      </w:pPr>
      <w:r w:rsidRPr="00477056">
        <w:rPr>
          <w:rFonts w:ascii="Georgia" w:hAnsi="Georgia"/>
          <w:sz w:val="18"/>
          <w:szCs w:val="20"/>
        </w:rPr>
        <w:t xml:space="preserve">Buchbinder, E., &amp; Barakat, R. (2014). Between the empowered self and the social costs: Arab abused women’s perceptions of their relationship with social workers in community health clinics in Israel. </w:t>
      </w:r>
      <w:r w:rsidRPr="00477056">
        <w:rPr>
          <w:rFonts w:ascii="Georgia" w:hAnsi="Georgia"/>
          <w:i/>
          <w:iCs/>
          <w:sz w:val="18"/>
          <w:szCs w:val="20"/>
        </w:rPr>
        <w:t>Social Work in Health Care</w:t>
      </w:r>
      <w:r w:rsidRPr="00477056">
        <w:rPr>
          <w:rFonts w:ascii="Georgia" w:hAnsi="Georgia"/>
          <w:sz w:val="18"/>
          <w:szCs w:val="20"/>
        </w:rPr>
        <w:t xml:space="preserve">, </w:t>
      </w:r>
      <w:r w:rsidRPr="00477056">
        <w:rPr>
          <w:rFonts w:ascii="Georgia" w:hAnsi="Georgia"/>
          <w:i/>
          <w:iCs/>
          <w:sz w:val="18"/>
          <w:szCs w:val="20"/>
        </w:rPr>
        <w:t>53</w:t>
      </w:r>
      <w:r w:rsidRPr="00477056">
        <w:rPr>
          <w:rFonts w:ascii="Georgia" w:hAnsi="Georgia"/>
          <w:sz w:val="18"/>
          <w:szCs w:val="20"/>
        </w:rPr>
        <w:t xml:space="preserve">, 398–413. </w:t>
      </w:r>
      <w:hyperlink r:id="rId26" w:history="1">
        <w:r w:rsidRPr="00477056">
          <w:rPr>
            <w:rStyle w:val="Hyperlink"/>
            <w:rFonts w:ascii="Georgia" w:hAnsi="Georgia"/>
            <w:sz w:val="18"/>
            <w:szCs w:val="20"/>
          </w:rPr>
          <w:t>https://doi.org/10.1080/00981389.2014.884039</w:t>
        </w:r>
      </w:hyperlink>
    </w:p>
    <w:p w14:paraId="5FA5FEE7" w14:textId="77777777" w:rsidR="00493C94" w:rsidRDefault="00477056" w:rsidP="000425F6">
      <w:pPr>
        <w:keepNext/>
        <w:keepLines/>
        <w:shd w:val="clear" w:color="auto" w:fill="FFFFFF"/>
        <w:bidi w:val="0"/>
        <w:spacing w:line="250" w:lineRule="exact"/>
        <w:ind w:left="397" w:hanging="397"/>
        <w:jc w:val="both"/>
        <w:rPr>
          <w:rFonts w:ascii="Georgia" w:hAnsi="Georgia"/>
          <w:sz w:val="18"/>
          <w:szCs w:val="20"/>
          <w:rtl/>
        </w:rPr>
      </w:pPr>
      <w:r w:rsidRPr="00477056">
        <w:rPr>
          <w:rFonts w:ascii="Georgia" w:hAnsi="Georgia"/>
          <w:sz w:val="18"/>
          <w:szCs w:val="20"/>
        </w:rPr>
        <w:lastRenderedPageBreak/>
        <w:t xml:space="preserve">Buchbinder, E., &amp; Jammal-Abboud, R. (2012). Recruiting Arab fathers in a center for children at risk in Israel. </w:t>
      </w:r>
      <w:r w:rsidRPr="00477056">
        <w:rPr>
          <w:rFonts w:ascii="Georgia" w:hAnsi="Georgia"/>
          <w:i/>
          <w:iCs/>
          <w:sz w:val="18"/>
          <w:szCs w:val="20"/>
        </w:rPr>
        <w:t>Journal of Family Social Work</w:t>
      </w:r>
      <w:r w:rsidRPr="00477056">
        <w:rPr>
          <w:rFonts w:ascii="Georgia" w:hAnsi="Georgia"/>
          <w:sz w:val="18"/>
          <w:szCs w:val="20"/>
        </w:rPr>
        <w:t xml:space="preserve">, </w:t>
      </w:r>
      <w:r w:rsidRPr="00477056">
        <w:rPr>
          <w:rFonts w:ascii="Georgia" w:hAnsi="Georgia"/>
          <w:i/>
          <w:iCs/>
          <w:sz w:val="18"/>
          <w:szCs w:val="20"/>
        </w:rPr>
        <w:t>15</w:t>
      </w:r>
      <w:r w:rsidRPr="00477056">
        <w:rPr>
          <w:rFonts w:ascii="Georgia" w:hAnsi="Georgia"/>
          <w:sz w:val="18"/>
          <w:szCs w:val="20"/>
        </w:rPr>
        <w:t xml:space="preserve">, 337–348. </w:t>
      </w:r>
    </w:p>
    <w:p w14:paraId="113618B5" w14:textId="4D5C976B" w:rsidR="00477056" w:rsidRPr="00477056" w:rsidRDefault="00493C94" w:rsidP="000425F6">
      <w:pPr>
        <w:bidi w:val="0"/>
        <w:spacing w:after="120" w:line="250" w:lineRule="exact"/>
        <w:ind w:left="397"/>
        <w:jc w:val="both"/>
        <w:rPr>
          <w:rFonts w:ascii="Georgia" w:hAnsi="Georgia"/>
          <w:sz w:val="18"/>
          <w:szCs w:val="20"/>
        </w:rPr>
      </w:pPr>
      <w:hyperlink r:id="rId27" w:history="1">
        <w:r w:rsidRPr="00597FB3">
          <w:rPr>
            <w:rStyle w:val="Hyperlink"/>
            <w:rFonts w:ascii="Georgia" w:hAnsi="Georgia"/>
            <w:sz w:val="18"/>
            <w:szCs w:val="20"/>
          </w:rPr>
          <w:t>https://doi.org/10.1080/10522158.2012.695323</w:t>
        </w:r>
      </w:hyperlink>
    </w:p>
    <w:p w14:paraId="1BEBD49E" w14:textId="77777777" w:rsidR="00493C94" w:rsidRDefault="00477056" w:rsidP="000425F6">
      <w:pPr>
        <w:keepNext/>
        <w:keepLines/>
        <w:shd w:val="clear" w:color="auto" w:fill="FFFFFF"/>
        <w:bidi w:val="0"/>
        <w:spacing w:line="250" w:lineRule="exact"/>
        <w:ind w:left="397" w:hanging="397"/>
        <w:jc w:val="both"/>
        <w:rPr>
          <w:rFonts w:ascii="Georgia" w:hAnsi="Georgia"/>
          <w:color w:val="222222"/>
          <w:sz w:val="18"/>
          <w:szCs w:val="20"/>
          <w:shd w:val="clear" w:color="auto" w:fill="FFFFFF"/>
          <w:rtl/>
        </w:rPr>
      </w:pPr>
      <w:r w:rsidRPr="00477056">
        <w:rPr>
          <w:rFonts w:ascii="Georgia" w:hAnsi="Georgia"/>
          <w:color w:val="222222"/>
          <w:sz w:val="18"/>
          <w:szCs w:val="20"/>
          <w:shd w:val="clear" w:color="auto" w:fill="FFFFFF"/>
        </w:rPr>
        <w:t xml:space="preserve">Cnaan, R. (1988). Social services for the enemy? Education for social work and the Arab sector in Israel. </w:t>
      </w:r>
      <w:r w:rsidRPr="00477056">
        <w:rPr>
          <w:rFonts w:ascii="Georgia" w:hAnsi="Georgia"/>
          <w:i/>
          <w:iCs/>
          <w:color w:val="222222"/>
          <w:sz w:val="18"/>
          <w:szCs w:val="20"/>
          <w:shd w:val="clear" w:color="auto" w:fill="FFFFFF"/>
        </w:rPr>
        <w:t>International Social Work</w:t>
      </w:r>
      <w:r w:rsidRPr="00477056">
        <w:rPr>
          <w:rFonts w:ascii="Georgia" w:hAnsi="Georgia"/>
          <w:color w:val="222222"/>
          <w:sz w:val="18"/>
          <w:szCs w:val="20"/>
          <w:shd w:val="clear" w:color="auto" w:fill="FFFFFF"/>
        </w:rPr>
        <w:t>,</w:t>
      </w:r>
      <w:r w:rsidRPr="00477056">
        <w:rPr>
          <w:rFonts w:ascii="Georgia" w:hAnsi="Georgia"/>
          <w:i/>
          <w:iCs/>
          <w:color w:val="222222"/>
          <w:sz w:val="18"/>
          <w:szCs w:val="20"/>
          <w:shd w:val="clear" w:color="auto" w:fill="FFFFFF"/>
        </w:rPr>
        <w:t xml:space="preserve"> 31</w:t>
      </w:r>
      <w:r w:rsidRPr="00477056">
        <w:rPr>
          <w:rFonts w:ascii="Georgia" w:hAnsi="Georgia"/>
          <w:color w:val="222222"/>
          <w:sz w:val="18"/>
          <w:szCs w:val="20"/>
          <w:shd w:val="clear" w:color="auto" w:fill="FFFFFF"/>
        </w:rPr>
        <w:t>, 33</w:t>
      </w:r>
      <w:r w:rsidRPr="00477056">
        <w:rPr>
          <w:rFonts w:ascii="Georgia" w:hAnsi="Georgia"/>
          <w:sz w:val="18"/>
          <w:szCs w:val="20"/>
        </w:rPr>
        <w:t>–</w:t>
      </w:r>
      <w:r w:rsidRPr="00477056">
        <w:rPr>
          <w:rFonts w:ascii="Georgia" w:hAnsi="Georgia"/>
          <w:color w:val="222222"/>
          <w:sz w:val="18"/>
          <w:szCs w:val="20"/>
          <w:shd w:val="clear" w:color="auto" w:fill="FFFFFF"/>
        </w:rPr>
        <w:t xml:space="preserve">43. </w:t>
      </w:r>
    </w:p>
    <w:p w14:paraId="635E98F1" w14:textId="521A92CB" w:rsidR="00477056" w:rsidRPr="00477056" w:rsidRDefault="00493C94" w:rsidP="000425F6">
      <w:pPr>
        <w:bidi w:val="0"/>
        <w:spacing w:after="120" w:line="250" w:lineRule="exact"/>
        <w:ind w:left="397"/>
        <w:jc w:val="both"/>
        <w:rPr>
          <w:rFonts w:ascii="Georgia" w:hAnsi="Georgia"/>
          <w:sz w:val="18"/>
          <w:szCs w:val="20"/>
        </w:rPr>
      </w:pPr>
      <w:hyperlink r:id="rId28" w:history="1">
        <w:r w:rsidRPr="00597FB3">
          <w:rPr>
            <w:rStyle w:val="Hyperlink"/>
            <w:rFonts w:ascii="Georgia" w:hAnsi="Georgia"/>
            <w:sz w:val="18"/>
            <w:szCs w:val="20"/>
            <w:shd w:val="clear" w:color="auto" w:fill="FFFFFF"/>
          </w:rPr>
          <w:t>https://doi.org/10.1177/002087288803100106</w:t>
        </w:r>
      </w:hyperlink>
    </w:p>
    <w:p w14:paraId="3F1E3070" w14:textId="77777777" w:rsidR="00477056" w:rsidRPr="00477056" w:rsidRDefault="00477056" w:rsidP="000425F6">
      <w:pPr>
        <w:bidi w:val="0"/>
        <w:spacing w:after="120" w:line="250" w:lineRule="exact"/>
        <w:ind w:left="397" w:hanging="397"/>
        <w:jc w:val="both"/>
        <w:rPr>
          <w:rFonts w:ascii="Georgia" w:hAnsi="Georgia"/>
          <w:sz w:val="18"/>
          <w:szCs w:val="20"/>
        </w:rPr>
      </w:pPr>
      <w:r w:rsidRPr="00477056">
        <w:rPr>
          <w:rFonts w:ascii="Georgia" w:hAnsi="Georgia"/>
          <w:color w:val="222222"/>
          <w:sz w:val="18"/>
          <w:szCs w:val="20"/>
          <w:shd w:val="clear" w:color="auto" w:fill="FFFFFF"/>
        </w:rPr>
        <w:t xml:space="preserve">Crenshaw, K. W. (2017). </w:t>
      </w:r>
      <w:r w:rsidRPr="00477056">
        <w:rPr>
          <w:rFonts w:ascii="Georgia" w:hAnsi="Georgia"/>
          <w:i/>
          <w:iCs/>
          <w:color w:val="222222"/>
          <w:sz w:val="18"/>
          <w:szCs w:val="20"/>
          <w:shd w:val="clear" w:color="auto" w:fill="FFFFFF"/>
        </w:rPr>
        <w:t>On intersectionality: Essential writings</w:t>
      </w:r>
      <w:r w:rsidRPr="00477056">
        <w:rPr>
          <w:rFonts w:ascii="Georgia" w:hAnsi="Georgia"/>
          <w:color w:val="222222"/>
          <w:sz w:val="18"/>
          <w:szCs w:val="20"/>
          <w:shd w:val="clear" w:color="auto" w:fill="FFFFFF"/>
        </w:rPr>
        <w:t>. The New Press.</w:t>
      </w:r>
    </w:p>
    <w:p w14:paraId="04351F32" w14:textId="77777777" w:rsidR="00477056" w:rsidRPr="00477056" w:rsidRDefault="00477056" w:rsidP="000425F6">
      <w:pPr>
        <w:keepNext/>
        <w:keepLines/>
        <w:shd w:val="clear" w:color="auto" w:fill="FFFFFF"/>
        <w:bidi w:val="0"/>
        <w:spacing w:line="250" w:lineRule="exact"/>
        <w:ind w:left="397" w:hanging="397"/>
        <w:jc w:val="both"/>
        <w:rPr>
          <w:rFonts w:ascii="Georgia" w:hAnsi="Georgia"/>
          <w:sz w:val="18"/>
          <w:szCs w:val="20"/>
        </w:rPr>
      </w:pPr>
      <w:proofErr w:type="spellStart"/>
      <w:r w:rsidRPr="00477056">
        <w:rPr>
          <w:rFonts w:ascii="Georgia" w:hAnsi="Georgia"/>
          <w:sz w:val="18"/>
          <w:szCs w:val="20"/>
        </w:rPr>
        <w:t>Dwairy</w:t>
      </w:r>
      <w:proofErr w:type="spellEnd"/>
      <w:r w:rsidRPr="00477056">
        <w:rPr>
          <w:rFonts w:ascii="Georgia" w:hAnsi="Georgia"/>
          <w:sz w:val="18"/>
          <w:szCs w:val="20"/>
        </w:rPr>
        <w:t xml:space="preserve">, M. (1997). A biopsychosocial model of metaphor therapy with holistic cultures. </w:t>
      </w:r>
      <w:r w:rsidRPr="00477056">
        <w:rPr>
          <w:rFonts w:ascii="Georgia" w:hAnsi="Georgia"/>
          <w:i/>
          <w:iCs/>
          <w:sz w:val="18"/>
          <w:szCs w:val="20"/>
        </w:rPr>
        <w:t>Clinical Psychology Review</w:t>
      </w:r>
      <w:r w:rsidRPr="00477056">
        <w:rPr>
          <w:rFonts w:ascii="Georgia" w:hAnsi="Georgia"/>
          <w:sz w:val="18"/>
          <w:szCs w:val="20"/>
        </w:rPr>
        <w:t xml:space="preserve">, </w:t>
      </w:r>
      <w:r w:rsidRPr="00477056">
        <w:rPr>
          <w:rFonts w:ascii="Georgia" w:hAnsi="Georgia"/>
          <w:i/>
          <w:iCs/>
          <w:sz w:val="18"/>
          <w:szCs w:val="20"/>
        </w:rPr>
        <w:t>17</w:t>
      </w:r>
      <w:r w:rsidRPr="00477056">
        <w:rPr>
          <w:rFonts w:ascii="Georgia" w:hAnsi="Georgia"/>
          <w:sz w:val="18"/>
          <w:szCs w:val="20"/>
        </w:rPr>
        <w:t>, 719–732.</w:t>
      </w:r>
      <w:r w:rsidRPr="00477056">
        <w:rPr>
          <w:rFonts w:ascii="Georgia" w:hAnsi="Georgia"/>
          <w:sz w:val="18"/>
          <w:szCs w:val="20"/>
          <w:rtl/>
        </w:rPr>
        <w:t>‏</w:t>
      </w:r>
      <w:r w:rsidRPr="00477056">
        <w:rPr>
          <w:rFonts w:ascii="Georgia" w:hAnsi="Georgia"/>
          <w:sz w:val="18"/>
          <w:szCs w:val="20"/>
        </w:rPr>
        <w:t xml:space="preserve"> </w:t>
      </w:r>
    </w:p>
    <w:p w14:paraId="04FA60DD" w14:textId="77777777" w:rsidR="00477056" w:rsidRPr="00477056" w:rsidRDefault="00477056" w:rsidP="0007555E">
      <w:pPr>
        <w:bidi w:val="0"/>
        <w:spacing w:after="120" w:line="250" w:lineRule="exact"/>
        <w:ind w:left="397"/>
        <w:jc w:val="both"/>
        <w:rPr>
          <w:rFonts w:ascii="Georgia" w:hAnsi="Georgia"/>
          <w:sz w:val="18"/>
          <w:szCs w:val="20"/>
        </w:rPr>
      </w:pPr>
      <w:hyperlink r:id="rId29" w:history="1">
        <w:r w:rsidRPr="00477056">
          <w:rPr>
            <w:rStyle w:val="Hyperlink"/>
            <w:rFonts w:ascii="Georgia" w:hAnsi="Georgia"/>
            <w:sz w:val="18"/>
            <w:szCs w:val="20"/>
          </w:rPr>
          <w:t>https://doi.org/10.1016/s0272-7358(97)00027-5</w:t>
        </w:r>
      </w:hyperlink>
    </w:p>
    <w:p w14:paraId="406FFEE9" w14:textId="77777777" w:rsidR="00493C94" w:rsidRDefault="00477056" w:rsidP="000425F6">
      <w:pPr>
        <w:keepNext/>
        <w:keepLines/>
        <w:shd w:val="clear" w:color="auto" w:fill="FFFFFF"/>
        <w:bidi w:val="0"/>
        <w:spacing w:line="250" w:lineRule="exact"/>
        <w:ind w:left="397" w:hanging="397"/>
        <w:jc w:val="both"/>
        <w:rPr>
          <w:rFonts w:ascii="Georgia" w:hAnsi="Georgia"/>
          <w:sz w:val="18"/>
          <w:szCs w:val="20"/>
          <w:rtl/>
        </w:rPr>
      </w:pPr>
      <w:r w:rsidRPr="00477056">
        <w:rPr>
          <w:rFonts w:ascii="Georgia" w:hAnsi="Georgia"/>
          <w:sz w:val="18"/>
          <w:szCs w:val="20"/>
        </w:rPr>
        <w:t xml:space="preserve">Elias, H., </w:t>
      </w:r>
      <w:proofErr w:type="spellStart"/>
      <w:r w:rsidRPr="00477056">
        <w:rPr>
          <w:rFonts w:ascii="Georgia" w:hAnsi="Georgia"/>
          <w:sz w:val="18"/>
          <w:szCs w:val="20"/>
        </w:rPr>
        <w:t>Alnabilsy</w:t>
      </w:r>
      <w:proofErr w:type="spellEnd"/>
      <w:r w:rsidRPr="00477056">
        <w:rPr>
          <w:rFonts w:ascii="Georgia" w:hAnsi="Georgia"/>
          <w:sz w:val="18"/>
          <w:szCs w:val="20"/>
        </w:rPr>
        <w:t xml:space="preserve">, R., &amp; </w:t>
      </w:r>
      <w:proofErr w:type="spellStart"/>
      <w:r w:rsidRPr="00477056">
        <w:rPr>
          <w:rFonts w:ascii="Georgia" w:hAnsi="Georgia"/>
          <w:sz w:val="18"/>
          <w:szCs w:val="20"/>
        </w:rPr>
        <w:t>Pagorek</w:t>
      </w:r>
      <w:proofErr w:type="spellEnd"/>
      <w:r w:rsidRPr="00477056">
        <w:rPr>
          <w:rFonts w:ascii="Georgia" w:hAnsi="Georgia"/>
          <w:sz w:val="18"/>
          <w:szCs w:val="20"/>
        </w:rPr>
        <w:t>-Eshel, S. (2019). Barriers to receiving support among young Arab women in Israel who have been abused in childhood. </w:t>
      </w:r>
      <w:r w:rsidRPr="00477056">
        <w:rPr>
          <w:rFonts w:ascii="Georgia" w:hAnsi="Georgia"/>
          <w:i/>
          <w:iCs/>
          <w:color w:val="222222"/>
          <w:sz w:val="18"/>
          <w:szCs w:val="20"/>
        </w:rPr>
        <w:t>British Journal of Social Work</w:t>
      </w:r>
      <w:r w:rsidRPr="00477056">
        <w:rPr>
          <w:rFonts w:ascii="Georgia" w:hAnsi="Georgia"/>
          <w:color w:val="222222"/>
          <w:sz w:val="18"/>
          <w:szCs w:val="20"/>
        </w:rPr>
        <w:t xml:space="preserve">, </w:t>
      </w:r>
      <w:r w:rsidRPr="00477056">
        <w:rPr>
          <w:rFonts w:ascii="Georgia" w:hAnsi="Georgia"/>
          <w:i/>
          <w:iCs/>
          <w:color w:val="222222"/>
          <w:sz w:val="18"/>
          <w:szCs w:val="20"/>
        </w:rPr>
        <w:t>49</w:t>
      </w:r>
      <w:r w:rsidRPr="00477056">
        <w:rPr>
          <w:rFonts w:ascii="Georgia" w:hAnsi="Georgia"/>
          <w:color w:val="222222"/>
          <w:sz w:val="18"/>
          <w:szCs w:val="20"/>
        </w:rPr>
        <w:t>, 2073</w:t>
      </w:r>
      <w:r w:rsidRPr="00477056">
        <w:rPr>
          <w:rFonts w:ascii="Georgia" w:hAnsi="Georgia"/>
          <w:sz w:val="18"/>
          <w:szCs w:val="20"/>
        </w:rPr>
        <w:t>–</w:t>
      </w:r>
      <w:r w:rsidRPr="00477056">
        <w:rPr>
          <w:rFonts w:ascii="Georgia" w:hAnsi="Georgia"/>
          <w:color w:val="222222"/>
          <w:sz w:val="18"/>
          <w:szCs w:val="20"/>
        </w:rPr>
        <w:t>2091.</w:t>
      </w:r>
      <w:r w:rsidRPr="00477056">
        <w:rPr>
          <w:rFonts w:ascii="Georgia" w:hAnsi="Georgia"/>
          <w:sz w:val="18"/>
          <w:szCs w:val="20"/>
        </w:rPr>
        <w:t xml:space="preserve"> </w:t>
      </w:r>
    </w:p>
    <w:p w14:paraId="1462AB65" w14:textId="2F06B88B" w:rsidR="00477056" w:rsidRPr="00477056" w:rsidRDefault="00493C94" w:rsidP="000425F6">
      <w:pPr>
        <w:bidi w:val="0"/>
        <w:spacing w:after="120" w:line="250" w:lineRule="exact"/>
        <w:ind w:left="397"/>
        <w:jc w:val="both"/>
        <w:rPr>
          <w:rFonts w:ascii="Georgia" w:hAnsi="Georgia"/>
          <w:sz w:val="18"/>
          <w:szCs w:val="20"/>
        </w:rPr>
      </w:pPr>
      <w:hyperlink r:id="rId30" w:history="1">
        <w:r w:rsidRPr="00597FB3">
          <w:rPr>
            <w:rStyle w:val="Hyperlink"/>
            <w:rFonts w:ascii="Georgia" w:hAnsi="Georgia"/>
            <w:sz w:val="18"/>
            <w:szCs w:val="20"/>
          </w:rPr>
          <w:t>https://doi.org/10.1093/bjsw/bcz007</w:t>
        </w:r>
      </w:hyperlink>
    </w:p>
    <w:p w14:paraId="75E92D41" w14:textId="77777777" w:rsidR="00493C94" w:rsidRDefault="00477056" w:rsidP="000425F6">
      <w:pPr>
        <w:keepNext/>
        <w:keepLines/>
        <w:shd w:val="clear" w:color="auto" w:fill="FFFFFF"/>
        <w:bidi w:val="0"/>
        <w:spacing w:line="250" w:lineRule="exact"/>
        <w:ind w:left="397" w:hanging="397"/>
        <w:jc w:val="both"/>
        <w:rPr>
          <w:rFonts w:ascii="Georgia" w:hAnsi="Georgia"/>
          <w:sz w:val="18"/>
          <w:szCs w:val="20"/>
          <w:rtl/>
        </w:rPr>
      </w:pPr>
      <w:r w:rsidRPr="00477056">
        <w:rPr>
          <w:rFonts w:ascii="Georgia" w:hAnsi="Georgia"/>
          <w:sz w:val="18"/>
          <w:szCs w:val="20"/>
        </w:rPr>
        <w:t xml:space="preserve">Gal, J. (2017). The Israeli welfare state system: With special reference to social inclusion. In C. </w:t>
      </w:r>
      <w:proofErr w:type="spellStart"/>
      <w:r w:rsidRPr="00477056">
        <w:rPr>
          <w:rFonts w:ascii="Georgia" w:hAnsi="Georgia"/>
          <w:sz w:val="18"/>
          <w:szCs w:val="20"/>
        </w:rPr>
        <w:t>Aspalter</w:t>
      </w:r>
      <w:proofErr w:type="spellEnd"/>
      <w:r w:rsidRPr="00477056">
        <w:rPr>
          <w:rFonts w:ascii="Georgia" w:hAnsi="Georgia"/>
          <w:sz w:val="18"/>
          <w:szCs w:val="20"/>
        </w:rPr>
        <w:t xml:space="preserve"> (Ed.), </w:t>
      </w:r>
      <w:r w:rsidRPr="00477056">
        <w:rPr>
          <w:rFonts w:ascii="Georgia" w:hAnsi="Georgia"/>
          <w:i/>
          <w:iCs/>
          <w:sz w:val="18"/>
          <w:szCs w:val="20"/>
        </w:rPr>
        <w:t>The Routledge international handbook to welfare state systems</w:t>
      </w:r>
      <w:r w:rsidRPr="00477056">
        <w:rPr>
          <w:rFonts w:ascii="Georgia" w:hAnsi="Georgia"/>
          <w:sz w:val="18"/>
          <w:szCs w:val="20"/>
        </w:rPr>
        <w:t xml:space="preserve">. (pp. 364–378). Routledge. </w:t>
      </w:r>
    </w:p>
    <w:p w14:paraId="28560282" w14:textId="56ABFDB4" w:rsidR="00477056" w:rsidRPr="00477056" w:rsidRDefault="00493C94" w:rsidP="000425F6">
      <w:pPr>
        <w:bidi w:val="0"/>
        <w:spacing w:after="120" w:line="250" w:lineRule="exact"/>
        <w:ind w:left="397"/>
        <w:jc w:val="both"/>
        <w:rPr>
          <w:rFonts w:ascii="Georgia" w:hAnsi="Georgia"/>
          <w:sz w:val="18"/>
          <w:szCs w:val="20"/>
        </w:rPr>
      </w:pPr>
      <w:hyperlink r:id="rId31" w:history="1">
        <w:r w:rsidRPr="00597FB3">
          <w:rPr>
            <w:rStyle w:val="Hyperlink"/>
            <w:rFonts w:ascii="Georgia" w:hAnsi="Georgia"/>
            <w:sz w:val="18"/>
            <w:szCs w:val="20"/>
          </w:rPr>
          <w:t>https://doi.org/10.4324/9781315613758-28</w:t>
        </w:r>
      </w:hyperlink>
    </w:p>
    <w:p w14:paraId="794EBE15" w14:textId="77777777" w:rsidR="00493C94" w:rsidRDefault="00477056" w:rsidP="000425F6">
      <w:pPr>
        <w:keepNext/>
        <w:keepLines/>
        <w:shd w:val="clear" w:color="auto" w:fill="FFFFFF"/>
        <w:bidi w:val="0"/>
        <w:spacing w:line="250" w:lineRule="exact"/>
        <w:ind w:left="397" w:hanging="397"/>
        <w:jc w:val="both"/>
        <w:rPr>
          <w:rFonts w:ascii="Georgia" w:hAnsi="Georgia"/>
          <w:sz w:val="18"/>
          <w:szCs w:val="20"/>
          <w:rtl/>
        </w:rPr>
      </w:pPr>
      <w:r w:rsidRPr="00477056">
        <w:rPr>
          <w:rFonts w:ascii="Georgia" w:hAnsi="Georgia"/>
          <w:sz w:val="18"/>
          <w:szCs w:val="20"/>
        </w:rPr>
        <w:t xml:space="preserve">Haj-Yahia, M. (1995). Toward culturally sensitive intervention with Arab families in Israel. </w:t>
      </w:r>
      <w:r w:rsidRPr="00477056">
        <w:rPr>
          <w:rFonts w:ascii="Georgia" w:hAnsi="Georgia"/>
          <w:i/>
          <w:iCs/>
          <w:sz w:val="18"/>
          <w:szCs w:val="20"/>
        </w:rPr>
        <w:t>Contemporary Family Therapy</w:t>
      </w:r>
      <w:r w:rsidRPr="00477056">
        <w:rPr>
          <w:rFonts w:ascii="Georgia" w:hAnsi="Georgia"/>
          <w:sz w:val="18"/>
          <w:szCs w:val="20"/>
        </w:rPr>
        <w:t>, </w:t>
      </w:r>
      <w:r w:rsidRPr="00477056">
        <w:rPr>
          <w:rFonts w:ascii="Georgia" w:hAnsi="Georgia"/>
          <w:i/>
          <w:iCs/>
          <w:sz w:val="18"/>
          <w:szCs w:val="20"/>
        </w:rPr>
        <w:t>17</w:t>
      </w:r>
      <w:r w:rsidRPr="00477056">
        <w:rPr>
          <w:rFonts w:ascii="Georgia" w:hAnsi="Georgia"/>
          <w:sz w:val="18"/>
          <w:szCs w:val="20"/>
        </w:rPr>
        <w:t xml:space="preserve">, 429–447. </w:t>
      </w:r>
    </w:p>
    <w:p w14:paraId="06AAED47" w14:textId="4AE33D63" w:rsidR="00477056" w:rsidRPr="00477056" w:rsidRDefault="00493C94" w:rsidP="000425F6">
      <w:pPr>
        <w:bidi w:val="0"/>
        <w:spacing w:after="120" w:line="250" w:lineRule="exact"/>
        <w:ind w:left="397"/>
        <w:jc w:val="both"/>
        <w:rPr>
          <w:rFonts w:ascii="Georgia" w:hAnsi="Georgia"/>
          <w:sz w:val="18"/>
          <w:szCs w:val="20"/>
        </w:rPr>
      </w:pPr>
      <w:hyperlink r:id="rId32" w:history="1">
        <w:r w:rsidRPr="00597FB3">
          <w:rPr>
            <w:rStyle w:val="Hyperlink"/>
            <w:rFonts w:ascii="Georgia" w:hAnsi="Georgia"/>
            <w:sz w:val="18"/>
            <w:szCs w:val="20"/>
          </w:rPr>
          <w:t>https://doi.org/10.1007/bf02249355</w:t>
        </w:r>
      </w:hyperlink>
      <w:r w:rsidR="00477056" w:rsidRPr="00477056">
        <w:rPr>
          <w:rFonts w:ascii="Georgia" w:hAnsi="Georgia"/>
          <w:sz w:val="18"/>
          <w:szCs w:val="20"/>
        </w:rPr>
        <w:t xml:space="preserve"> </w:t>
      </w:r>
    </w:p>
    <w:p w14:paraId="665D6B2C" w14:textId="7958DE00" w:rsidR="00477056" w:rsidRPr="00477056" w:rsidRDefault="00477056" w:rsidP="000425F6">
      <w:pPr>
        <w:bidi w:val="0"/>
        <w:spacing w:after="120" w:line="250" w:lineRule="exact"/>
        <w:ind w:left="397" w:hanging="397"/>
        <w:jc w:val="both"/>
        <w:rPr>
          <w:rFonts w:ascii="Georgia" w:hAnsi="Georgia"/>
          <w:sz w:val="18"/>
          <w:szCs w:val="20"/>
        </w:rPr>
      </w:pPr>
      <w:r w:rsidRPr="00477056">
        <w:rPr>
          <w:rFonts w:ascii="Georgia" w:hAnsi="Georgia"/>
          <w:sz w:val="18"/>
          <w:szCs w:val="20"/>
        </w:rPr>
        <w:t>Haj</w:t>
      </w:r>
      <w:r w:rsidRPr="00477056">
        <w:rPr>
          <w:rFonts w:ascii="Cambria Math" w:hAnsi="Cambria Math" w:cs="Cambria Math"/>
          <w:sz w:val="18"/>
          <w:szCs w:val="20"/>
        </w:rPr>
        <w:t>‐</w:t>
      </w:r>
      <w:r w:rsidRPr="00477056">
        <w:rPr>
          <w:rFonts w:ascii="Georgia" w:hAnsi="Georgia"/>
          <w:sz w:val="18"/>
          <w:szCs w:val="20"/>
        </w:rPr>
        <w:t xml:space="preserve">Yahia, M. M., &amp; Sadan, E. (2008). Issues in intervention with battered women in collectivist societies. </w:t>
      </w:r>
      <w:r w:rsidRPr="00477056">
        <w:rPr>
          <w:rFonts w:ascii="Georgia" w:hAnsi="Georgia"/>
          <w:i/>
          <w:iCs/>
          <w:sz w:val="18"/>
          <w:szCs w:val="20"/>
        </w:rPr>
        <w:t>Journal of Marital and Family Therapy</w:t>
      </w:r>
      <w:r w:rsidRPr="00477056">
        <w:rPr>
          <w:rFonts w:ascii="Georgia" w:hAnsi="Georgia"/>
          <w:sz w:val="18"/>
          <w:szCs w:val="20"/>
        </w:rPr>
        <w:t xml:space="preserve">, </w:t>
      </w:r>
      <w:r w:rsidR="000425F6">
        <w:rPr>
          <w:rFonts w:ascii="Georgia" w:hAnsi="Georgia"/>
          <w:sz w:val="18"/>
          <w:szCs w:val="20"/>
          <w:rtl/>
        </w:rPr>
        <w:br/>
      </w:r>
      <w:r w:rsidRPr="00477056">
        <w:rPr>
          <w:rFonts w:ascii="Georgia" w:hAnsi="Georgia"/>
          <w:i/>
          <w:iCs/>
          <w:sz w:val="18"/>
          <w:szCs w:val="20"/>
        </w:rPr>
        <w:t>34</w:t>
      </w:r>
      <w:r w:rsidRPr="00477056">
        <w:rPr>
          <w:rFonts w:ascii="Georgia" w:hAnsi="Georgia"/>
          <w:sz w:val="18"/>
          <w:szCs w:val="20"/>
        </w:rPr>
        <w:t xml:space="preserve">, 1–13. </w:t>
      </w:r>
      <w:hyperlink r:id="rId33" w:history="1">
        <w:r w:rsidRPr="00477056">
          <w:rPr>
            <w:rStyle w:val="Hyperlink"/>
            <w:rFonts w:ascii="Georgia" w:hAnsi="Georgia"/>
            <w:sz w:val="18"/>
            <w:szCs w:val="20"/>
          </w:rPr>
          <w:t>https://doi.org/10.1111/j.1752-0606.2008.00049.x</w:t>
        </w:r>
      </w:hyperlink>
    </w:p>
    <w:p w14:paraId="5F2316E7" w14:textId="77777777" w:rsidR="000425F6" w:rsidRDefault="00477056" w:rsidP="000425F6">
      <w:pPr>
        <w:keepNext/>
        <w:keepLines/>
        <w:shd w:val="clear" w:color="auto" w:fill="FFFFFF"/>
        <w:bidi w:val="0"/>
        <w:spacing w:line="250" w:lineRule="exact"/>
        <w:ind w:left="397" w:hanging="397"/>
        <w:jc w:val="both"/>
        <w:rPr>
          <w:rFonts w:ascii="Georgia" w:hAnsi="Georgia"/>
          <w:sz w:val="18"/>
          <w:szCs w:val="20"/>
          <w:rtl/>
        </w:rPr>
      </w:pPr>
      <w:r w:rsidRPr="00477056">
        <w:rPr>
          <w:rFonts w:ascii="Georgia" w:hAnsi="Georgia"/>
          <w:sz w:val="18"/>
          <w:szCs w:val="20"/>
        </w:rPr>
        <w:t xml:space="preserve">Harrison, G. (2007). A postcolonial perspective on language and difference in social work: Bilingual practitioners working in the linguistic borderlands. </w:t>
      </w:r>
      <w:r w:rsidRPr="00477056">
        <w:rPr>
          <w:rFonts w:ascii="Georgia" w:hAnsi="Georgia"/>
          <w:i/>
          <w:iCs/>
          <w:sz w:val="18"/>
          <w:szCs w:val="20"/>
        </w:rPr>
        <w:t>European Journal of Social Work</w:t>
      </w:r>
      <w:r w:rsidRPr="00477056">
        <w:rPr>
          <w:rFonts w:ascii="Georgia" w:hAnsi="Georgia"/>
          <w:sz w:val="18"/>
          <w:szCs w:val="20"/>
        </w:rPr>
        <w:t xml:space="preserve">, </w:t>
      </w:r>
      <w:r w:rsidRPr="00477056">
        <w:rPr>
          <w:rFonts w:ascii="Georgia" w:hAnsi="Georgia"/>
          <w:i/>
          <w:iCs/>
          <w:sz w:val="18"/>
          <w:szCs w:val="20"/>
        </w:rPr>
        <w:t>10</w:t>
      </w:r>
      <w:r w:rsidRPr="00477056">
        <w:rPr>
          <w:rFonts w:ascii="Georgia" w:hAnsi="Georgia"/>
          <w:sz w:val="18"/>
          <w:szCs w:val="20"/>
        </w:rPr>
        <w:t xml:space="preserve">, 73–88. </w:t>
      </w:r>
    </w:p>
    <w:p w14:paraId="28E56189" w14:textId="38C41E58" w:rsidR="00477056" w:rsidRPr="00477056" w:rsidRDefault="000425F6" w:rsidP="000425F6">
      <w:pPr>
        <w:autoSpaceDE w:val="0"/>
        <w:autoSpaceDN w:val="0"/>
        <w:bidi w:val="0"/>
        <w:adjustRightInd w:val="0"/>
        <w:spacing w:after="120" w:line="250" w:lineRule="exact"/>
        <w:ind w:left="397"/>
        <w:jc w:val="both"/>
        <w:rPr>
          <w:rFonts w:ascii="Georgia" w:hAnsi="Georgia"/>
          <w:sz w:val="18"/>
          <w:szCs w:val="20"/>
        </w:rPr>
      </w:pPr>
      <w:hyperlink r:id="rId34" w:history="1">
        <w:r w:rsidRPr="00597FB3">
          <w:rPr>
            <w:rStyle w:val="Hyperlink"/>
            <w:rFonts w:ascii="Georgia" w:hAnsi="Georgia"/>
            <w:sz w:val="18"/>
            <w:szCs w:val="20"/>
          </w:rPr>
          <w:t>https://doi.org/10.1080/13691450601143682</w:t>
        </w:r>
      </w:hyperlink>
    </w:p>
    <w:p w14:paraId="2483D256" w14:textId="045F8447" w:rsidR="000425F6" w:rsidRDefault="00477056" w:rsidP="000425F6">
      <w:pPr>
        <w:keepNext/>
        <w:keepLines/>
        <w:shd w:val="clear" w:color="auto" w:fill="FFFFFF"/>
        <w:bidi w:val="0"/>
        <w:spacing w:line="250" w:lineRule="exact"/>
        <w:ind w:left="397" w:hanging="397"/>
        <w:jc w:val="both"/>
        <w:rPr>
          <w:rFonts w:ascii="Georgia" w:hAnsi="Georgia"/>
          <w:sz w:val="18"/>
          <w:szCs w:val="20"/>
          <w:rtl/>
        </w:rPr>
      </w:pPr>
      <w:r w:rsidRPr="00477056">
        <w:rPr>
          <w:rFonts w:ascii="Georgia" w:hAnsi="Georgia"/>
          <w:sz w:val="18"/>
          <w:szCs w:val="20"/>
        </w:rPr>
        <w:t xml:space="preserve">Herzog, H., &amp; Yahia-Younis, T. (2007). Men's bargaining with patriarchy: The case of primaries within </w:t>
      </w:r>
      <w:proofErr w:type="spellStart"/>
      <w:r w:rsidRPr="00477056">
        <w:rPr>
          <w:rFonts w:ascii="Georgia" w:hAnsi="Georgia"/>
          <w:sz w:val="18"/>
          <w:szCs w:val="20"/>
        </w:rPr>
        <w:t>Hamulas</w:t>
      </w:r>
      <w:proofErr w:type="spellEnd"/>
      <w:r w:rsidRPr="00477056">
        <w:rPr>
          <w:rFonts w:ascii="Georgia" w:hAnsi="Georgia"/>
          <w:sz w:val="18"/>
          <w:szCs w:val="20"/>
        </w:rPr>
        <w:t xml:space="preserve"> in Palestinian Arab communities in Israel. </w:t>
      </w:r>
      <w:r w:rsidRPr="00477056">
        <w:rPr>
          <w:rFonts w:ascii="Georgia" w:hAnsi="Georgia"/>
          <w:i/>
          <w:iCs/>
          <w:color w:val="222222"/>
          <w:sz w:val="18"/>
          <w:szCs w:val="20"/>
        </w:rPr>
        <w:t>Gender &amp; Society</w:t>
      </w:r>
      <w:r w:rsidRPr="00477056">
        <w:rPr>
          <w:rFonts w:ascii="Georgia" w:hAnsi="Georgia"/>
          <w:color w:val="222222"/>
          <w:sz w:val="18"/>
          <w:szCs w:val="20"/>
        </w:rPr>
        <w:t xml:space="preserve">, </w:t>
      </w:r>
      <w:r w:rsidRPr="00477056">
        <w:rPr>
          <w:rFonts w:ascii="Georgia" w:hAnsi="Georgia"/>
          <w:i/>
          <w:iCs/>
          <w:color w:val="222222"/>
          <w:sz w:val="18"/>
          <w:szCs w:val="20"/>
        </w:rPr>
        <w:t>21</w:t>
      </w:r>
      <w:r w:rsidRPr="00477056">
        <w:rPr>
          <w:rFonts w:ascii="Georgia" w:hAnsi="Georgia"/>
          <w:color w:val="222222"/>
          <w:sz w:val="18"/>
          <w:szCs w:val="20"/>
        </w:rPr>
        <w:t>, 579</w:t>
      </w:r>
      <w:r w:rsidRPr="00477056">
        <w:rPr>
          <w:rFonts w:ascii="Georgia" w:hAnsi="Georgia"/>
          <w:sz w:val="18"/>
          <w:szCs w:val="20"/>
        </w:rPr>
        <w:t>–</w:t>
      </w:r>
      <w:r w:rsidRPr="00477056">
        <w:rPr>
          <w:rFonts w:ascii="Georgia" w:hAnsi="Georgia"/>
          <w:color w:val="222222"/>
          <w:sz w:val="18"/>
          <w:szCs w:val="20"/>
        </w:rPr>
        <w:t>602.</w:t>
      </w:r>
      <w:r w:rsidRPr="00477056">
        <w:rPr>
          <w:rFonts w:ascii="Georgia" w:hAnsi="Georgia"/>
          <w:sz w:val="18"/>
          <w:szCs w:val="20"/>
        </w:rPr>
        <w:t xml:space="preserve"> </w:t>
      </w:r>
    </w:p>
    <w:p w14:paraId="02DB837D" w14:textId="547E7E43" w:rsidR="00477056" w:rsidRPr="00477056" w:rsidRDefault="000425F6" w:rsidP="000425F6">
      <w:pPr>
        <w:bidi w:val="0"/>
        <w:spacing w:after="120" w:line="250" w:lineRule="exact"/>
        <w:ind w:left="397"/>
        <w:jc w:val="both"/>
        <w:rPr>
          <w:rFonts w:ascii="Georgia" w:hAnsi="Georgia"/>
          <w:sz w:val="18"/>
          <w:szCs w:val="20"/>
        </w:rPr>
      </w:pPr>
      <w:hyperlink r:id="rId35" w:history="1">
        <w:r w:rsidRPr="00597FB3">
          <w:rPr>
            <w:rStyle w:val="Hyperlink"/>
            <w:rFonts w:ascii="Georgia" w:hAnsi="Georgia"/>
            <w:sz w:val="18"/>
            <w:szCs w:val="20"/>
          </w:rPr>
          <w:t>https://doi.org/10.1177/0891243207302571</w:t>
        </w:r>
      </w:hyperlink>
    </w:p>
    <w:p w14:paraId="3A500729" w14:textId="77777777" w:rsidR="00477056" w:rsidRPr="00477056" w:rsidRDefault="00477056" w:rsidP="000425F6">
      <w:pPr>
        <w:bidi w:val="0"/>
        <w:spacing w:after="120" w:line="250" w:lineRule="exact"/>
        <w:ind w:left="397" w:hanging="397"/>
        <w:jc w:val="both"/>
        <w:rPr>
          <w:rFonts w:ascii="Georgia" w:hAnsi="Georgia"/>
          <w:sz w:val="18"/>
          <w:szCs w:val="20"/>
        </w:rPr>
      </w:pPr>
      <w:r w:rsidRPr="00477056">
        <w:rPr>
          <w:rFonts w:ascii="Georgia" w:hAnsi="Georgia"/>
          <w:sz w:val="18"/>
          <w:szCs w:val="20"/>
        </w:rPr>
        <w:t xml:space="preserve">Hochschild, A. (1989). </w:t>
      </w:r>
      <w:r w:rsidRPr="00477056">
        <w:rPr>
          <w:rFonts w:ascii="Georgia" w:hAnsi="Georgia"/>
          <w:i/>
          <w:iCs/>
          <w:sz w:val="18"/>
          <w:szCs w:val="20"/>
        </w:rPr>
        <w:t>The second shift: Working parents and the revolution at home</w:t>
      </w:r>
      <w:r w:rsidRPr="00477056">
        <w:rPr>
          <w:rFonts w:ascii="Georgia" w:hAnsi="Georgia"/>
          <w:sz w:val="18"/>
          <w:szCs w:val="20"/>
        </w:rPr>
        <w:t xml:space="preserve">. Viking. </w:t>
      </w:r>
      <w:hyperlink r:id="rId36" w:history="1">
        <w:r w:rsidRPr="00477056">
          <w:rPr>
            <w:rStyle w:val="Hyperlink"/>
            <w:rFonts w:ascii="Georgia" w:hAnsi="Georgia"/>
            <w:sz w:val="18"/>
            <w:szCs w:val="20"/>
          </w:rPr>
          <w:t>https://doi.org/10.2307/352858</w:t>
        </w:r>
      </w:hyperlink>
    </w:p>
    <w:p w14:paraId="2B2F84F1" w14:textId="1B66BAB7" w:rsidR="00477056" w:rsidRPr="00477056" w:rsidRDefault="00477056" w:rsidP="000425F6">
      <w:pPr>
        <w:bidi w:val="0"/>
        <w:spacing w:after="120" w:line="250" w:lineRule="exact"/>
        <w:ind w:left="397" w:hanging="397"/>
        <w:jc w:val="both"/>
        <w:rPr>
          <w:rFonts w:ascii="Georgia" w:hAnsi="Georgia"/>
          <w:sz w:val="18"/>
          <w:szCs w:val="20"/>
        </w:rPr>
      </w:pPr>
      <w:r w:rsidRPr="00477056">
        <w:rPr>
          <w:rFonts w:ascii="Georgia" w:hAnsi="Georgia"/>
          <w:sz w:val="18"/>
          <w:szCs w:val="20"/>
        </w:rPr>
        <w:lastRenderedPageBreak/>
        <w:t xml:space="preserve">Ibrahim, M., </w:t>
      </w:r>
      <w:proofErr w:type="spellStart"/>
      <w:r w:rsidRPr="00477056">
        <w:rPr>
          <w:rFonts w:ascii="Georgia" w:hAnsi="Georgia"/>
          <w:sz w:val="18"/>
          <w:szCs w:val="20"/>
        </w:rPr>
        <w:t>Allassad</w:t>
      </w:r>
      <w:proofErr w:type="spellEnd"/>
      <w:r w:rsidRPr="00477056">
        <w:rPr>
          <w:rFonts w:ascii="Georgia" w:hAnsi="Georgia"/>
          <w:sz w:val="18"/>
          <w:szCs w:val="20"/>
        </w:rPr>
        <w:t xml:space="preserve"> </w:t>
      </w:r>
      <w:proofErr w:type="spellStart"/>
      <w:r w:rsidRPr="00477056">
        <w:rPr>
          <w:rFonts w:ascii="Georgia" w:hAnsi="Georgia"/>
          <w:sz w:val="18"/>
          <w:szCs w:val="20"/>
        </w:rPr>
        <w:t>Alhuzail</w:t>
      </w:r>
      <w:proofErr w:type="spellEnd"/>
      <w:r w:rsidRPr="00477056">
        <w:rPr>
          <w:rFonts w:ascii="Georgia" w:hAnsi="Georgia"/>
          <w:sz w:val="18"/>
          <w:szCs w:val="20"/>
        </w:rPr>
        <w:t xml:space="preserve">, N., &amp; Bar-On, A. (2022). The professionalization of social work in Israel’s Arab society. </w:t>
      </w:r>
      <w:r w:rsidRPr="00477056">
        <w:rPr>
          <w:rFonts w:ascii="Georgia" w:hAnsi="Georgia"/>
          <w:i/>
          <w:iCs/>
          <w:sz w:val="18"/>
          <w:szCs w:val="20"/>
        </w:rPr>
        <w:t>International Social Work</w:t>
      </w:r>
      <w:r w:rsidRPr="00477056">
        <w:rPr>
          <w:rFonts w:ascii="Georgia" w:hAnsi="Georgia"/>
          <w:sz w:val="18"/>
          <w:szCs w:val="20"/>
        </w:rPr>
        <w:t>,</w:t>
      </w:r>
      <w:r w:rsidRPr="00477056">
        <w:rPr>
          <w:rFonts w:ascii="Georgia" w:hAnsi="Georgia"/>
          <w:i/>
          <w:iCs/>
          <w:sz w:val="18"/>
          <w:szCs w:val="20"/>
        </w:rPr>
        <w:t xml:space="preserve"> 65</w:t>
      </w:r>
      <w:r w:rsidRPr="00477056">
        <w:rPr>
          <w:rFonts w:ascii="Georgia" w:hAnsi="Georgia"/>
          <w:sz w:val="18"/>
          <w:szCs w:val="20"/>
        </w:rPr>
        <w:t xml:space="preserve">, </w:t>
      </w:r>
      <w:r w:rsidR="000425F6">
        <w:rPr>
          <w:rFonts w:ascii="Georgia" w:hAnsi="Georgia"/>
          <w:sz w:val="18"/>
          <w:szCs w:val="20"/>
          <w:rtl/>
        </w:rPr>
        <w:br/>
      </w:r>
      <w:r w:rsidRPr="00477056">
        <w:rPr>
          <w:rFonts w:ascii="Georgia" w:hAnsi="Georgia"/>
          <w:sz w:val="18"/>
          <w:szCs w:val="20"/>
        </w:rPr>
        <w:t xml:space="preserve">746–760. </w:t>
      </w:r>
      <w:hyperlink r:id="rId37" w:history="1">
        <w:r w:rsidRPr="00477056">
          <w:rPr>
            <w:rStyle w:val="Hyperlink"/>
            <w:rFonts w:ascii="Georgia" w:hAnsi="Georgia"/>
            <w:sz w:val="18"/>
            <w:szCs w:val="20"/>
          </w:rPr>
          <w:t>https://doi.org/10.1177/0020872820959363</w:t>
        </w:r>
      </w:hyperlink>
    </w:p>
    <w:p w14:paraId="11EAEC8E" w14:textId="77777777" w:rsidR="000425F6" w:rsidRDefault="00477056" w:rsidP="000425F6">
      <w:pPr>
        <w:keepNext/>
        <w:keepLines/>
        <w:shd w:val="clear" w:color="auto" w:fill="FFFFFF"/>
        <w:bidi w:val="0"/>
        <w:spacing w:line="250" w:lineRule="exact"/>
        <w:ind w:left="397" w:hanging="397"/>
        <w:jc w:val="both"/>
        <w:rPr>
          <w:rFonts w:ascii="Georgia" w:hAnsi="Georgia"/>
          <w:sz w:val="18"/>
          <w:szCs w:val="20"/>
          <w:rtl/>
        </w:rPr>
      </w:pPr>
      <w:proofErr w:type="spellStart"/>
      <w:r w:rsidRPr="00477056">
        <w:rPr>
          <w:rFonts w:ascii="Georgia" w:hAnsi="Georgia"/>
          <w:sz w:val="18"/>
          <w:szCs w:val="20"/>
        </w:rPr>
        <w:t>Kandiyoti</w:t>
      </w:r>
      <w:proofErr w:type="spellEnd"/>
      <w:r w:rsidRPr="00477056">
        <w:rPr>
          <w:rFonts w:ascii="Georgia" w:hAnsi="Georgia"/>
          <w:sz w:val="18"/>
          <w:szCs w:val="20"/>
        </w:rPr>
        <w:t xml:space="preserve">, D. (1988). Bargaining with patriarchy. </w:t>
      </w:r>
      <w:r w:rsidRPr="00477056">
        <w:rPr>
          <w:rFonts w:ascii="Georgia" w:hAnsi="Georgia"/>
          <w:i/>
          <w:iCs/>
          <w:sz w:val="18"/>
          <w:szCs w:val="20"/>
        </w:rPr>
        <w:t>Gender &amp; Society</w:t>
      </w:r>
      <w:r w:rsidRPr="00477056">
        <w:rPr>
          <w:rFonts w:ascii="Georgia" w:hAnsi="Georgia"/>
          <w:sz w:val="18"/>
          <w:szCs w:val="20"/>
        </w:rPr>
        <w:t>,</w:t>
      </w:r>
      <w:r w:rsidRPr="00477056">
        <w:rPr>
          <w:rFonts w:ascii="Georgia" w:hAnsi="Georgia"/>
          <w:i/>
          <w:iCs/>
          <w:sz w:val="18"/>
          <w:szCs w:val="20"/>
        </w:rPr>
        <w:t xml:space="preserve"> 2</w:t>
      </w:r>
      <w:r w:rsidRPr="00477056">
        <w:rPr>
          <w:rFonts w:ascii="Georgia" w:hAnsi="Georgia"/>
          <w:sz w:val="18"/>
          <w:szCs w:val="20"/>
        </w:rPr>
        <w:t xml:space="preserve">, 274–290. </w:t>
      </w:r>
    </w:p>
    <w:p w14:paraId="590BE23F" w14:textId="76538795" w:rsidR="00477056" w:rsidRPr="00477056" w:rsidRDefault="000425F6" w:rsidP="000425F6">
      <w:pPr>
        <w:bidi w:val="0"/>
        <w:spacing w:after="120" w:line="250" w:lineRule="exact"/>
        <w:ind w:left="397"/>
        <w:jc w:val="both"/>
        <w:rPr>
          <w:rFonts w:ascii="Georgia" w:hAnsi="Georgia"/>
          <w:sz w:val="18"/>
          <w:szCs w:val="20"/>
        </w:rPr>
      </w:pPr>
      <w:hyperlink r:id="rId38" w:history="1">
        <w:r w:rsidRPr="00597FB3">
          <w:rPr>
            <w:rStyle w:val="Hyperlink"/>
            <w:rFonts w:ascii="Georgia" w:hAnsi="Georgia"/>
            <w:sz w:val="18"/>
            <w:szCs w:val="20"/>
          </w:rPr>
          <w:t>https://doi.org/10.1177/089124388002003004</w:t>
        </w:r>
      </w:hyperlink>
    </w:p>
    <w:p w14:paraId="6B58D780" w14:textId="77777777" w:rsidR="000425F6" w:rsidRDefault="00477056" w:rsidP="000425F6">
      <w:pPr>
        <w:keepNext/>
        <w:keepLines/>
        <w:shd w:val="clear" w:color="auto" w:fill="FFFFFF"/>
        <w:bidi w:val="0"/>
        <w:spacing w:line="250" w:lineRule="exact"/>
        <w:ind w:left="397" w:hanging="397"/>
        <w:jc w:val="both"/>
        <w:rPr>
          <w:rFonts w:ascii="Georgia" w:hAnsi="Georgia"/>
          <w:sz w:val="18"/>
          <w:szCs w:val="20"/>
          <w:rtl/>
        </w:rPr>
      </w:pPr>
      <w:r w:rsidRPr="00477056">
        <w:rPr>
          <w:rFonts w:ascii="Georgia" w:hAnsi="Georgia"/>
          <w:sz w:val="18"/>
          <w:szCs w:val="20"/>
        </w:rPr>
        <w:t xml:space="preserve">Khattab, N., &amp; </w:t>
      </w:r>
      <w:proofErr w:type="spellStart"/>
      <w:r w:rsidRPr="00477056">
        <w:rPr>
          <w:rFonts w:ascii="Georgia" w:hAnsi="Georgia"/>
          <w:sz w:val="18"/>
          <w:szCs w:val="20"/>
        </w:rPr>
        <w:t>Miaari</w:t>
      </w:r>
      <w:proofErr w:type="spellEnd"/>
      <w:r w:rsidRPr="00477056">
        <w:rPr>
          <w:rFonts w:ascii="Georgia" w:hAnsi="Georgia"/>
          <w:sz w:val="18"/>
          <w:szCs w:val="20"/>
        </w:rPr>
        <w:t xml:space="preserve">, S. (2013). The occupational mismatch amongst Palestinians and Jews in Israel: New evidence from the LFS 2000–2010. </w:t>
      </w:r>
      <w:r w:rsidRPr="00477056">
        <w:rPr>
          <w:rFonts w:ascii="Georgia" w:hAnsi="Georgia"/>
          <w:i/>
          <w:iCs/>
          <w:sz w:val="18"/>
          <w:szCs w:val="20"/>
        </w:rPr>
        <w:t>Research in Social Stratification and Mobility</w:t>
      </w:r>
      <w:r w:rsidRPr="00477056">
        <w:rPr>
          <w:rFonts w:ascii="Georgia" w:hAnsi="Georgia"/>
          <w:sz w:val="18"/>
          <w:szCs w:val="20"/>
        </w:rPr>
        <w:t>,</w:t>
      </w:r>
      <w:r w:rsidRPr="00477056">
        <w:rPr>
          <w:rFonts w:ascii="Georgia" w:hAnsi="Georgia"/>
          <w:i/>
          <w:iCs/>
          <w:sz w:val="18"/>
          <w:szCs w:val="20"/>
        </w:rPr>
        <w:t xml:space="preserve"> 34</w:t>
      </w:r>
      <w:r w:rsidRPr="00477056">
        <w:rPr>
          <w:rFonts w:ascii="Georgia" w:hAnsi="Georgia"/>
          <w:sz w:val="18"/>
          <w:szCs w:val="20"/>
        </w:rPr>
        <w:t xml:space="preserve">, 1–13. </w:t>
      </w:r>
    </w:p>
    <w:p w14:paraId="37F37CC7" w14:textId="0D9D49B9" w:rsidR="00477056" w:rsidRPr="00477056" w:rsidRDefault="000425F6" w:rsidP="000425F6">
      <w:pPr>
        <w:bidi w:val="0"/>
        <w:spacing w:after="120" w:line="250" w:lineRule="exact"/>
        <w:ind w:left="397"/>
        <w:jc w:val="both"/>
        <w:rPr>
          <w:rFonts w:ascii="Georgia" w:hAnsi="Georgia"/>
          <w:sz w:val="18"/>
          <w:szCs w:val="20"/>
        </w:rPr>
      </w:pPr>
      <w:hyperlink r:id="rId39" w:history="1">
        <w:r w:rsidRPr="00597FB3">
          <w:rPr>
            <w:rStyle w:val="Hyperlink"/>
            <w:rFonts w:ascii="Georgia" w:hAnsi="Georgia"/>
            <w:sz w:val="18"/>
            <w:szCs w:val="20"/>
          </w:rPr>
          <w:t>https://doi.org/10.1016/j.rssm.2013.07.002</w:t>
        </w:r>
      </w:hyperlink>
    </w:p>
    <w:p w14:paraId="1306BBBB" w14:textId="511EF157" w:rsidR="00477056" w:rsidRPr="00477056" w:rsidRDefault="00477056" w:rsidP="00E03AFB">
      <w:pPr>
        <w:bidi w:val="0"/>
        <w:spacing w:after="120" w:line="250" w:lineRule="exact"/>
        <w:ind w:left="397" w:hanging="397"/>
        <w:jc w:val="both"/>
        <w:rPr>
          <w:rFonts w:ascii="Georgia" w:hAnsi="Georgia"/>
          <w:sz w:val="18"/>
        </w:rPr>
      </w:pPr>
      <w:r w:rsidRPr="00477056">
        <w:rPr>
          <w:rFonts w:ascii="Georgia" w:hAnsi="Georgia"/>
          <w:sz w:val="18"/>
        </w:rPr>
        <w:t xml:space="preserve">Khoury, E., &amp; </w:t>
      </w:r>
      <w:proofErr w:type="spellStart"/>
      <w:r w:rsidRPr="00477056">
        <w:rPr>
          <w:rFonts w:ascii="Georgia" w:hAnsi="Georgia"/>
          <w:sz w:val="18"/>
        </w:rPr>
        <w:t>Krumer</w:t>
      </w:r>
      <w:proofErr w:type="spellEnd"/>
      <w:r w:rsidRPr="00477056">
        <w:rPr>
          <w:rFonts w:ascii="Georgia" w:hAnsi="Georgia"/>
          <w:sz w:val="18"/>
        </w:rPr>
        <w:t xml:space="preserve">-Nevo, M. (2023). Poverty in the </w:t>
      </w:r>
      <w:proofErr w:type="gramStart"/>
      <w:r w:rsidRPr="00477056">
        <w:rPr>
          <w:rFonts w:ascii="Georgia" w:hAnsi="Georgia"/>
          <w:sz w:val="18"/>
        </w:rPr>
        <w:t>Arab-Palestinian</w:t>
      </w:r>
      <w:proofErr w:type="gramEnd"/>
      <w:r w:rsidRPr="00477056">
        <w:rPr>
          <w:rFonts w:ascii="Georgia" w:hAnsi="Georgia"/>
          <w:sz w:val="18"/>
        </w:rPr>
        <w:t xml:space="preserve"> society in Israel: Social work perspective (before and after COVID 19). </w:t>
      </w:r>
      <w:r w:rsidRPr="00477056">
        <w:rPr>
          <w:rFonts w:ascii="Georgia" w:hAnsi="Georgia"/>
          <w:i/>
          <w:iCs/>
          <w:sz w:val="18"/>
        </w:rPr>
        <w:t>International Social Work</w:t>
      </w:r>
      <w:r w:rsidRPr="0007555E">
        <w:rPr>
          <w:rFonts w:ascii="Georgia" w:hAnsi="Georgia"/>
          <w:sz w:val="18"/>
        </w:rPr>
        <w:t>,</w:t>
      </w:r>
      <w:r w:rsidR="004A6753" w:rsidRPr="00477056" w:rsidDel="004A6753">
        <w:rPr>
          <w:rFonts w:ascii="Georgia" w:hAnsi="Georgia"/>
          <w:i/>
          <w:iCs/>
          <w:sz w:val="18"/>
        </w:rPr>
        <w:t xml:space="preserve"> </w:t>
      </w:r>
      <w:r w:rsidRPr="00477056">
        <w:rPr>
          <w:rFonts w:ascii="Georgia" w:hAnsi="Georgia"/>
          <w:i/>
          <w:iCs/>
          <w:color w:val="222222"/>
          <w:sz w:val="18"/>
          <w:highlight w:val="white"/>
        </w:rPr>
        <w:t>66</w:t>
      </w:r>
      <w:r w:rsidRPr="00477056">
        <w:rPr>
          <w:rFonts w:ascii="Georgia" w:hAnsi="Georgia"/>
          <w:color w:val="222222"/>
          <w:sz w:val="18"/>
          <w:highlight w:val="white"/>
        </w:rPr>
        <w:t>(1), 117</w:t>
      </w:r>
      <w:r w:rsidRPr="00477056">
        <w:rPr>
          <w:rFonts w:ascii="Georgia" w:hAnsi="Georgia"/>
          <w:sz w:val="18"/>
        </w:rPr>
        <w:t>–</w:t>
      </w:r>
      <w:r w:rsidRPr="00477056">
        <w:rPr>
          <w:rFonts w:ascii="Georgia" w:hAnsi="Georgia"/>
          <w:color w:val="222222"/>
          <w:sz w:val="18"/>
          <w:highlight w:val="white"/>
        </w:rPr>
        <w:t>129.</w:t>
      </w:r>
      <w:r w:rsidR="00E8789B">
        <w:rPr>
          <w:rFonts w:ascii="Georgia" w:hAnsi="Georgia"/>
          <w:color w:val="222222"/>
          <w:sz w:val="18"/>
        </w:rPr>
        <w:t xml:space="preserve"> </w:t>
      </w:r>
      <w:hyperlink r:id="rId40" w:history="1">
        <w:r w:rsidR="000425F6" w:rsidRPr="00597FB3">
          <w:rPr>
            <w:rStyle w:val="Hyperlink"/>
            <w:rFonts w:ascii="Georgia" w:hAnsi="Georgia"/>
            <w:sz w:val="18"/>
            <w:highlight w:val="white"/>
          </w:rPr>
          <w:t>https://doi.org/10.1177/00208728221091125</w:t>
        </w:r>
      </w:hyperlink>
    </w:p>
    <w:p w14:paraId="1CB72556" w14:textId="77777777" w:rsidR="000425F6" w:rsidRDefault="00477056" w:rsidP="000425F6">
      <w:pPr>
        <w:keepNext/>
        <w:keepLines/>
        <w:shd w:val="clear" w:color="auto" w:fill="FFFFFF"/>
        <w:bidi w:val="0"/>
        <w:spacing w:line="250" w:lineRule="exact"/>
        <w:ind w:left="397" w:hanging="397"/>
        <w:jc w:val="both"/>
        <w:rPr>
          <w:rFonts w:ascii="Georgia" w:hAnsi="Georgia"/>
          <w:sz w:val="18"/>
          <w:szCs w:val="20"/>
          <w:rtl/>
        </w:rPr>
      </w:pPr>
      <w:r w:rsidRPr="00477056">
        <w:rPr>
          <w:rFonts w:ascii="Georgia" w:hAnsi="Georgia"/>
          <w:sz w:val="18"/>
          <w:szCs w:val="20"/>
        </w:rPr>
        <w:t xml:space="preserve">Lavee, E., &amp; </w:t>
      </w:r>
      <w:proofErr w:type="spellStart"/>
      <w:r w:rsidRPr="00477056">
        <w:rPr>
          <w:rFonts w:ascii="Georgia" w:hAnsi="Georgia"/>
          <w:sz w:val="18"/>
          <w:szCs w:val="20"/>
        </w:rPr>
        <w:t>Strier</w:t>
      </w:r>
      <w:proofErr w:type="spellEnd"/>
      <w:r w:rsidRPr="00477056">
        <w:rPr>
          <w:rFonts w:ascii="Georgia" w:hAnsi="Georgia"/>
          <w:sz w:val="18"/>
          <w:szCs w:val="20"/>
        </w:rPr>
        <w:t>, R. (2018). Social workers</w:t>
      </w:r>
      <w:r w:rsidRPr="00477056">
        <w:rPr>
          <w:rFonts w:ascii="Georgia" w:hAnsi="Georgia"/>
          <w:color w:val="222222"/>
          <w:sz w:val="18"/>
          <w:szCs w:val="20"/>
          <w:shd w:val="clear" w:color="auto" w:fill="FFFFFF"/>
        </w:rPr>
        <w:t>’</w:t>
      </w:r>
      <w:r w:rsidRPr="00477056">
        <w:rPr>
          <w:rFonts w:ascii="Georgia" w:hAnsi="Georgia"/>
          <w:sz w:val="18"/>
          <w:szCs w:val="20"/>
        </w:rPr>
        <w:t xml:space="preserve"> emotional </w:t>
      </w:r>
      <w:proofErr w:type="spellStart"/>
      <w:r w:rsidRPr="00477056">
        <w:rPr>
          <w:rFonts w:ascii="Georgia" w:hAnsi="Georgia"/>
          <w:sz w:val="18"/>
          <w:szCs w:val="20"/>
        </w:rPr>
        <w:t>labour</w:t>
      </w:r>
      <w:proofErr w:type="spellEnd"/>
      <w:r w:rsidRPr="00477056">
        <w:rPr>
          <w:rFonts w:ascii="Georgia" w:hAnsi="Georgia"/>
          <w:sz w:val="18"/>
          <w:szCs w:val="20"/>
        </w:rPr>
        <w:t xml:space="preserve"> with families in poverty: Neoliberal fatigue? </w:t>
      </w:r>
      <w:r w:rsidRPr="00477056">
        <w:rPr>
          <w:rFonts w:ascii="Georgia" w:hAnsi="Georgia"/>
          <w:i/>
          <w:iCs/>
          <w:sz w:val="18"/>
          <w:szCs w:val="20"/>
        </w:rPr>
        <w:t>Child &amp; Family Social Work</w:t>
      </w:r>
      <w:r w:rsidRPr="00477056">
        <w:rPr>
          <w:rFonts w:ascii="Georgia" w:hAnsi="Georgia"/>
          <w:sz w:val="18"/>
          <w:szCs w:val="20"/>
        </w:rPr>
        <w:t>,</w:t>
      </w:r>
      <w:r w:rsidRPr="00477056">
        <w:rPr>
          <w:rFonts w:ascii="Georgia" w:hAnsi="Georgia"/>
          <w:i/>
          <w:iCs/>
          <w:sz w:val="18"/>
          <w:szCs w:val="20"/>
        </w:rPr>
        <w:t xml:space="preserve"> 23</w:t>
      </w:r>
      <w:r w:rsidRPr="00477056">
        <w:rPr>
          <w:rFonts w:ascii="Georgia" w:hAnsi="Georgia"/>
          <w:sz w:val="18"/>
          <w:szCs w:val="20"/>
        </w:rPr>
        <w:t>, 504–512.</w:t>
      </w:r>
      <w:r w:rsidRPr="00477056">
        <w:rPr>
          <w:rFonts w:ascii="Georgia" w:hAnsi="Georgia"/>
          <w:sz w:val="18"/>
          <w:szCs w:val="20"/>
          <w:rtl/>
        </w:rPr>
        <w:t>‏</w:t>
      </w:r>
      <w:r w:rsidRPr="00477056">
        <w:rPr>
          <w:rFonts w:ascii="Georgia" w:hAnsi="Georgia"/>
          <w:sz w:val="18"/>
          <w:szCs w:val="20"/>
        </w:rPr>
        <w:t xml:space="preserve"> </w:t>
      </w:r>
    </w:p>
    <w:p w14:paraId="045CBBD2" w14:textId="0582A2D4" w:rsidR="00477056" w:rsidRPr="00477056" w:rsidRDefault="000425F6" w:rsidP="000425F6">
      <w:pPr>
        <w:bidi w:val="0"/>
        <w:spacing w:after="120" w:line="250" w:lineRule="exact"/>
        <w:ind w:left="397"/>
        <w:jc w:val="both"/>
        <w:rPr>
          <w:rFonts w:ascii="Georgia" w:hAnsi="Georgia"/>
          <w:sz w:val="18"/>
          <w:szCs w:val="20"/>
        </w:rPr>
      </w:pPr>
      <w:hyperlink r:id="rId41" w:history="1">
        <w:r w:rsidRPr="00597FB3">
          <w:rPr>
            <w:rStyle w:val="Hyperlink"/>
            <w:rFonts w:ascii="Georgia" w:hAnsi="Georgia"/>
            <w:sz w:val="18"/>
            <w:szCs w:val="20"/>
          </w:rPr>
          <w:t>https://doi.org/10.1111/cfs.12443</w:t>
        </w:r>
      </w:hyperlink>
    </w:p>
    <w:p w14:paraId="749E1451" w14:textId="77777777" w:rsidR="00477056" w:rsidRPr="00477056" w:rsidRDefault="00477056" w:rsidP="000425F6">
      <w:pPr>
        <w:pStyle w:val="CommentText"/>
        <w:bidi w:val="0"/>
        <w:spacing w:after="120" w:line="250" w:lineRule="exact"/>
        <w:ind w:left="397" w:hanging="397"/>
        <w:jc w:val="both"/>
        <w:rPr>
          <w:rFonts w:ascii="Georgia" w:hAnsi="Georgia" w:cs="David"/>
          <w:sz w:val="18"/>
        </w:rPr>
      </w:pPr>
      <w:r w:rsidRPr="00477056">
        <w:rPr>
          <w:rFonts w:ascii="Georgia" w:hAnsi="Georgia" w:cs="David"/>
          <w:sz w:val="18"/>
        </w:rPr>
        <w:t xml:space="preserve">Levin, L., Karram-Elias, H., Eshel, S. P., &amp; </w:t>
      </w:r>
      <w:proofErr w:type="spellStart"/>
      <w:r w:rsidRPr="00477056">
        <w:rPr>
          <w:rFonts w:ascii="Georgia" w:hAnsi="Georgia" w:cs="David"/>
          <w:sz w:val="18"/>
        </w:rPr>
        <w:t>Alnabilsy</w:t>
      </w:r>
      <w:proofErr w:type="spellEnd"/>
      <w:r w:rsidRPr="00477056">
        <w:rPr>
          <w:rFonts w:ascii="Georgia" w:hAnsi="Georgia" w:cs="David"/>
          <w:sz w:val="18"/>
        </w:rPr>
        <w:t xml:space="preserve">, R. (2023). State inspection in contexts of cultural and sociopolitical conflict: The case of social services offered to </w:t>
      </w:r>
      <w:proofErr w:type="gramStart"/>
      <w:r w:rsidRPr="00477056">
        <w:rPr>
          <w:rFonts w:ascii="Georgia" w:hAnsi="Georgia" w:cs="David"/>
          <w:sz w:val="18"/>
        </w:rPr>
        <w:t>Arab-Palestinian</w:t>
      </w:r>
      <w:proofErr w:type="gramEnd"/>
      <w:r w:rsidRPr="00477056">
        <w:rPr>
          <w:rFonts w:ascii="Georgia" w:hAnsi="Georgia" w:cs="David"/>
          <w:sz w:val="18"/>
        </w:rPr>
        <w:t xml:space="preserve"> young women in Israel. </w:t>
      </w:r>
      <w:r w:rsidRPr="00477056">
        <w:rPr>
          <w:rFonts w:ascii="Georgia" w:hAnsi="Georgia" w:cs="David"/>
          <w:i/>
          <w:iCs/>
          <w:sz w:val="18"/>
        </w:rPr>
        <w:t>Journal of Social Policy</w:t>
      </w:r>
      <w:r w:rsidRPr="00477056">
        <w:rPr>
          <w:rFonts w:ascii="Georgia" w:hAnsi="Georgia" w:cs="David"/>
          <w:sz w:val="18"/>
        </w:rPr>
        <w:t xml:space="preserve">, 1–18. </w:t>
      </w:r>
      <w:hyperlink r:id="rId42" w:history="1">
        <w:r w:rsidRPr="00477056">
          <w:rPr>
            <w:rStyle w:val="Hyperlink"/>
            <w:rFonts w:ascii="Georgia" w:hAnsi="Georgia" w:cs="David"/>
            <w:sz w:val="18"/>
          </w:rPr>
          <w:t>https://doi.org/10.1017/s0047279423000144</w:t>
        </w:r>
      </w:hyperlink>
    </w:p>
    <w:p w14:paraId="6F7E6DFF" w14:textId="77777777" w:rsidR="00477056" w:rsidRPr="00477056" w:rsidRDefault="00477056" w:rsidP="000425F6">
      <w:pPr>
        <w:bidi w:val="0"/>
        <w:spacing w:after="120" w:line="250" w:lineRule="exact"/>
        <w:ind w:left="397" w:hanging="397"/>
        <w:jc w:val="both"/>
        <w:rPr>
          <w:rFonts w:ascii="Georgia" w:hAnsi="Georgia"/>
          <w:sz w:val="18"/>
          <w:szCs w:val="20"/>
        </w:rPr>
      </w:pPr>
      <w:r w:rsidRPr="00477056">
        <w:rPr>
          <w:rFonts w:ascii="Georgia" w:hAnsi="Georgia"/>
          <w:color w:val="222222"/>
          <w:sz w:val="18"/>
          <w:szCs w:val="20"/>
          <w:shd w:val="clear" w:color="auto" w:fill="FFFFFF"/>
        </w:rPr>
        <w:t xml:space="preserve">Lott, B. (2002). Cognitive and behavioral distancing from the poor. </w:t>
      </w:r>
      <w:r w:rsidRPr="00477056">
        <w:rPr>
          <w:rFonts w:ascii="Georgia" w:hAnsi="Georgia"/>
          <w:i/>
          <w:iCs/>
          <w:color w:val="222222"/>
          <w:sz w:val="18"/>
          <w:szCs w:val="20"/>
          <w:shd w:val="clear" w:color="auto" w:fill="FFFFFF"/>
        </w:rPr>
        <w:t>American Psychologist</w:t>
      </w:r>
      <w:r w:rsidRPr="00477056">
        <w:rPr>
          <w:rFonts w:ascii="Georgia" w:hAnsi="Georgia"/>
          <w:color w:val="222222"/>
          <w:sz w:val="18"/>
          <w:szCs w:val="20"/>
          <w:shd w:val="clear" w:color="auto" w:fill="FFFFFF"/>
        </w:rPr>
        <w:t xml:space="preserve">, </w:t>
      </w:r>
      <w:r w:rsidRPr="00477056">
        <w:rPr>
          <w:rFonts w:ascii="Georgia" w:hAnsi="Georgia"/>
          <w:i/>
          <w:iCs/>
          <w:color w:val="222222"/>
          <w:sz w:val="18"/>
          <w:szCs w:val="20"/>
          <w:shd w:val="clear" w:color="auto" w:fill="FFFFFF"/>
        </w:rPr>
        <w:t>57</w:t>
      </w:r>
      <w:r w:rsidRPr="00477056">
        <w:rPr>
          <w:rFonts w:ascii="Georgia" w:hAnsi="Georgia"/>
          <w:color w:val="222222"/>
          <w:sz w:val="18"/>
          <w:szCs w:val="20"/>
          <w:shd w:val="clear" w:color="auto" w:fill="FFFFFF"/>
        </w:rPr>
        <w:t>, 100</w:t>
      </w:r>
      <w:r w:rsidRPr="00477056">
        <w:rPr>
          <w:rFonts w:ascii="Georgia" w:hAnsi="Georgia"/>
          <w:sz w:val="18"/>
          <w:szCs w:val="20"/>
        </w:rPr>
        <w:t xml:space="preserve">–110. </w:t>
      </w:r>
      <w:hyperlink r:id="rId43" w:history="1">
        <w:r w:rsidRPr="00477056">
          <w:rPr>
            <w:rStyle w:val="Hyperlink"/>
            <w:rFonts w:ascii="Georgia" w:hAnsi="Georgia"/>
            <w:sz w:val="18"/>
            <w:szCs w:val="20"/>
          </w:rPr>
          <w:t>https://doi.org/10.1037//0003-066x.57.2.100</w:t>
        </w:r>
      </w:hyperlink>
    </w:p>
    <w:p w14:paraId="223AA84E" w14:textId="77777777" w:rsidR="000425F6" w:rsidRDefault="00477056" w:rsidP="000425F6">
      <w:pPr>
        <w:keepNext/>
        <w:keepLines/>
        <w:shd w:val="clear" w:color="auto" w:fill="FFFFFF"/>
        <w:bidi w:val="0"/>
        <w:spacing w:line="250" w:lineRule="exact"/>
        <w:ind w:left="397" w:hanging="397"/>
        <w:jc w:val="both"/>
        <w:rPr>
          <w:rFonts w:ascii="Georgia" w:hAnsi="Georgia"/>
          <w:sz w:val="18"/>
          <w:szCs w:val="20"/>
          <w:rtl/>
        </w:rPr>
      </w:pPr>
      <w:r w:rsidRPr="00477056">
        <w:rPr>
          <w:rFonts w:ascii="Georgia" w:hAnsi="Georgia"/>
          <w:sz w:val="18"/>
          <w:szCs w:val="20"/>
        </w:rPr>
        <w:t xml:space="preserve">Meler, T. (2017). The Palestinian family in Israel: Simultaneous trends. </w:t>
      </w:r>
      <w:r w:rsidRPr="00477056">
        <w:rPr>
          <w:rFonts w:ascii="Georgia" w:hAnsi="Georgia"/>
          <w:i/>
          <w:iCs/>
          <w:sz w:val="18"/>
          <w:szCs w:val="20"/>
        </w:rPr>
        <w:t>Marriage and Family Review</w:t>
      </w:r>
      <w:r w:rsidRPr="00477056">
        <w:rPr>
          <w:rFonts w:ascii="Georgia" w:hAnsi="Georgia"/>
          <w:sz w:val="18"/>
          <w:szCs w:val="20"/>
        </w:rPr>
        <w:t xml:space="preserve">, </w:t>
      </w:r>
      <w:r w:rsidRPr="00477056">
        <w:rPr>
          <w:rFonts w:ascii="Georgia" w:hAnsi="Georgia"/>
          <w:i/>
          <w:iCs/>
          <w:sz w:val="18"/>
          <w:szCs w:val="20"/>
        </w:rPr>
        <w:t>53</w:t>
      </w:r>
      <w:r w:rsidRPr="00477056">
        <w:rPr>
          <w:rFonts w:ascii="Georgia" w:hAnsi="Georgia"/>
          <w:sz w:val="18"/>
          <w:szCs w:val="20"/>
        </w:rPr>
        <w:t xml:space="preserve">, 781–810. </w:t>
      </w:r>
    </w:p>
    <w:p w14:paraId="604EB22A" w14:textId="0E33C4E5" w:rsidR="00477056" w:rsidRPr="00477056" w:rsidRDefault="000425F6" w:rsidP="000425F6">
      <w:pPr>
        <w:bidi w:val="0"/>
        <w:spacing w:after="120" w:line="250" w:lineRule="exact"/>
        <w:ind w:left="397"/>
        <w:jc w:val="both"/>
        <w:rPr>
          <w:rFonts w:ascii="Georgia" w:hAnsi="Georgia"/>
          <w:sz w:val="18"/>
          <w:szCs w:val="20"/>
        </w:rPr>
      </w:pPr>
      <w:hyperlink r:id="rId44" w:history="1">
        <w:r w:rsidRPr="00597FB3">
          <w:rPr>
            <w:rStyle w:val="Hyperlink"/>
            <w:rFonts w:ascii="Georgia" w:hAnsi="Georgia"/>
            <w:sz w:val="18"/>
            <w:szCs w:val="20"/>
          </w:rPr>
          <w:t>https://doi.org/10.1080/01494929.2017.1359810</w:t>
        </w:r>
      </w:hyperlink>
    </w:p>
    <w:p w14:paraId="4615F011" w14:textId="2BED1D14" w:rsidR="00477056" w:rsidRPr="00477056" w:rsidRDefault="00477056" w:rsidP="000425F6">
      <w:pPr>
        <w:autoSpaceDE w:val="0"/>
        <w:autoSpaceDN w:val="0"/>
        <w:bidi w:val="0"/>
        <w:adjustRightInd w:val="0"/>
        <w:spacing w:after="120" w:line="250" w:lineRule="exact"/>
        <w:ind w:left="397" w:hanging="397"/>
        <w:jc w:val="both"/>
        <w:rPr>
          <w:rFonts w:ascii="Georgia" w:hAnsi="Georgia"/>
          <w:color w:val="222222"/>
          <w:sz w:val="18"/>
          <w:szCs w:val="20"/>
          <w:shd w:val="clear" w:color="auto" w:fill="FFFFFF"/>
        </w:rPr>
      </w:pPr>
      <w:r w:rsidRPr="00477056">
        <w:rPr>
          <w:rFonts w:ascii="Georgia" w:hAnsi="Georgia"/>
          <w:color w:val="222222"/>
          <w:sz w:val="18"/>
          <w:szCs w:val="20"/>
          <w:shd w:val="clear" w:color="auto" w:fill="FFFFFF"/>
        </w:rPr>
        <w:t>Park, Y. (2005). Culture as deficit: A critical discourse analysis of the concept of culture in contemporary social work discourse.</w:t>
      </w:r>
      <w:r w:rsidR="000425F6">
        <w:rPr>
          <w:rFonts w:ascii="Georgia" w:hAnsi="Georgia" w:hint="cs"/>
          <w:color w:val="222222"/>
          <w:sz w:val="18"/>
          <w:szCs w:val="20"/>
          <w:shd w:val="clear" w:color="auto" w:fill="FFFFFF"/>
          <w:rtl/>
        </w:rPr>
        <w:t xml:space="preserve"> </w:t>
      </w:r>
      <w:r w:rsidRPr="00477056">
        <w:rPr>
          <w:rFonts w:ascii="Georgia" w:hAnsi="Georgia"/>
          <w:i/>
          <w:iCs/>
          <w:color w:val="222222"/>
          <w:sz w:val="18"/>
          <w:szCs w:val="20"/>
          <w:shd w:val="clear" w:color="auto" w:fill="FFFFFF"/>
        </w:rPr>
        <w:t>Journal of Sociology &amp; Social Welfare</w:t>
      </w:r>
      <w:r w:rsidRPr="00477056">
        <w:rPr>
          <w:rFonts w:ascii="Georgia" w:hAnsi="Georgia"/>
          <w:color w:val="222222"/>
          <w:sz w:val="18"/>
          <w:szCs w:val="20"/>
          <w:shd w:val="clear" w:color="auto" w:fill="FFFFFF"/>
        </w:rPr>
        <w:t xml:space="preserve">, </w:t>
      </w:r>
      <w:r w:rsidRPr="00477056">
        <w:rPr>
          <w:rFonts w:ascii="Georgia" w:hAnsi="Georgia"/>
          <w:i/>
          <w:iCs/>
          <w:color w:val="222222"/>
          <w:sz w:val="18"/>
          <w:szCs w:val="20"/>
          <w:shd w:val="clear" w:color="auto" w:fill="FFFFFF"/>
        </w:rPr>
        <w:t>32</w:t>
      </w:r>
      <w:r w:rsidRPr="00477056">
        <w:rPr>
          <w:rFonts w:ascii="Georgia" w:hAnsi="Georgia"/>
          <w:color w:val="222222"/>
          <w:sz w:val="18"/>
          <w:szCs w:val="20"/>
          <w:shd w:val="clear" w:color="auto" w:fill="FFFFFF"/>
        </w:rPr>
        <w:t>, 11</w:t>
      </w:r>
      <w:r w:rsidRPr="00477056">
        <w:rPr>
          <w:rFonts w:ascii="Georgia" w:hAnsi="Georgia"/>
          <w:sz w:val="18"/>
          <w:szCs w:val="20"/>
        </w:rPr>
        <w:t>–</w:t>
      </w:r>
      <w:r w:rsidRPr="00477056">
        <w:rPr>
          <w:rFonts w:ascii="Georgia" w:hAnsi="Georgia"/>
          <w:color w:val="222222"/>
          <w:sz w:val="18"/>
          <w:szCs w:val="20"/>
          <w:shd w:val="clear" w:color="auto" w:fill="FFFFFF"/>
        </w:rPr>
        <w:t xml:space="preserve">33. </w:t>
      </w:r>
      <w:hyperlink r:id="rId45" w:history="1">
        <w:r w:rsidRPr="00477056">
          <w:rPr>
            <w:rStyle w:val="Hyperlink"/>
            <w:rFonts w:ascii="Georgia" w:hAnsi="Georgia"/>
            <w:sz w:val="18"/>
            <w:szCs w:val="20"/>
            <w:shd w:val="clear" w:color="auto" w:fill="FFFFFF"/>
          </w:rPr>
          <w:t>https://doi.org/10.15453/0191-5096.3090</w:t>
        </w:r>
      </w:hyperlink>
    </w:p>
    <w:p w14:paraId="52A78ADA" w14:textId="77777777" w:rsidR="00477056" w:rsidRPr="00477056" w:rsidRDefault="00477056" w:rsidP="000425F6">
      <w:pPr>
        <w:bidi w:val="0"/>
        <w:spacing w:after="120" w:line="250" w:lineRule="exact"/>
        <w:ind w:left="397" w:hanging="397"/>
        <w:jc w:val="both"/>
        <w:rPr>
          <w:rFonts w:ascii="Georgia" w:hAnsi="Georgia"/>
          <w:sz w:val="18"/>
          <w:szCs w:val="20"/>
        </w:rPr>
      </w:pPr>
      <w:r w:rsidRPr="00477056">
        <w:rPr>
          <w:rFonts w:ascii="Georgia" w:hAnsi="Georgia"/>
          <w:sz w:val="18"/>
          <w:szCs w:val="20"/>
        </w:rPr>
        <w:t>Shalhoub-</w:t>
      </w:r>
      <w:proofErr w:type="spellStart"/>
      <w:r w:rsidRPr="00477056">
        <w:rPr>
          <w:rFonts w:ascii="Georgia" w:hAnsi="Georgia"/>
          <w:sz w:val="18"/>
          <w:szCs w:val="20"/>
        </w:rPr>
        <w:t>Kervorkian</w:t>
      </w:r>
      <w:proofErr w:type="spellEnd"/>
      <w:r w:rsidRPr="00477056">
        <w:rPr>
          <w:rFonts w:ascii="Georgia" w:hAnsi="Georgia"/>
          <w:sz w:val="18"/>
          <w:szCs w:val="20"/>
        </w:rPr>
        <w:t>, N., &amp; Daher-</w:t>
      </w:r>
      <w:proofErr w:type="spellStart"/>
      <w:r w:rsidRPr="00477056">
        <w:rPr>
          <w:rFonts w:ascii="Georgia" w:hAnsi="Georgia"/>
          <w:sz w:val="18"/>
          <w:szCs w:val="20"/>
        </w:rPr>
        <w:t>Nashif</w:t>
      </w:r>
      <w:proofErr w:type="spellEnd"/>
      <w:r w:rsidRPr="00477056">
        <w:rPr>
          <w:rFonts w:ascii="Georgia" w:hAnsi="Georgia"/>
          <w:sz w:val="18"/>
          <w:szCs w:val="20"/>
        </w:rPr>
        <w:t xml:space="preserve">, S. (2013). Femicide and colonization: between the politics of exclusion and the culture of control. </w:t>
      </w:r>
      <w:r w:rsidRPr="00477056">
        <w:rPr>
          <w:rFonts w:ascii="Georgia" w:hAnsi="Georgia"/>
          <w:i/>
          <w:iCs/>
          <w:sz w:val="18"/>
          <w:szCs w:val="20"/>
        </w:rPr>
        <w:t>Violence Against Women</w:t>
      </w:r>
      <w:r w:rsidRPr="00477056">
        <w:rPr>
          <w:rFonts w:ascii="Georgia" w:hAnsi="Georgia"/>
          <w:sz w:val="18"/>
          <w:szCs w:val="20"/>
        </w:rPr>
        <w:t xml:space="preserve">, </w:t>
      </w:r>
      <w:r w:rsidRPr="00477056">
        <w:rPr>
          <w:rFonts w:ascii="Georgia" w:hAnsi="Georgia"/>
          <w:i/>
          <w:iCs/>
          <w:sz w:val="18"/>
          <w:szCs w:val="20"/>
        </w:rPr>
        <w:t>19</w:t>
      </w:r>
      <w:r w:rsidRPr="00477056">
        <w:rPr>
          <w:rFonts w:ascii="Georgia" w:hAnsi="Georgia"/>
          <w:sz w:val="18"/>
          <w:szCs w:val="20"/>
        </w:rPr>
        <w:t xml:space="preserve">, 295–315. </w:t>
      </w:r>
      <w:hyperlink r:id="rId46" w:history="1">
        <w:r w:rsidRPr="00477056">
          <w:rPr>
            <w:rStyle w:val="Hyperlink"/>
            <w:rFonts w:ascii="Georgia" w:hAnsi="Georgia"/>
            <w:sz w:val="18"/>
            <w:szCs w:val="20"/>
          </w:rPr>
          <w:t>https://doi.org/10.1177/1077801213485548</w:t>
        </w:r>
      </w:hyperlink>
    </w:p>
    <w:p w14:paraId="7547BDE3" w14:textId="77777777" w:rsidR="000425F6" w:rsidRDefault="00477056" w:rsidP="000425F6">
      <w:pPr>
        <w:keepNext/>
        <w:keepLines/>
        <w:shd w:val="clear" w:color="auto" w:fill="FFFFFF"/>
        <w:bidi w:val="0"/>
        <w:spacing w:line="250" w:lineRule="exact"/>
        <w:ind w:left="397" w:hanging="397"/>
        <w:jc w:val="both"/>
        <w:rPr>
          <w:rFonts w:ascii="Georgia" w:hAnsi="Georgia"/>
          <w:sz w:val="18"/>
          <w:rtl/>
        </w:rPr>
      </w:pPr>
      <w:r w:rsidRPr="00477056">
        <w:rPr>
          <w:rFonts w:ascii="Georgia" w:hAnsi="Georgia"/>
          <w:sz w:val="18"/>
        </w:rPr>
        <w:t xml:space="preserve">Tarrant, A. (2021). </w:t>
      </w:r>
      <w:r w:rsidRPr="00477056">
        <w:rPr>
          <w:rFonts w:ascii="Georgia" w:hAnsi="Georgia"/>
          <w:i/>
          <w:iCs/>
          <w:sz w:val="18"/>
        </w:rPr>
        <w:t>Fathering and poverty.</w:t>
      </w:r>
      <w:r w:rsidRPr="00477056">
        <w:rPr>
          <w:rFonts w:ascii="Georgia" w:hAnsi="Georgia"/>
          <w:sz w:val="18"/>
        </w:rPr>
        <w:t xml:space="preserve"> Policy Press. </w:t>
      </w:r>
    </w:p>
    <w:p w14:paraId="00869C66" w14:textId="744AF885" w:rsidR="00477056" w:rsidRPr="00477056" w:rsidRDefault="000425F6" w:rsidP="0007555E">
      <w:pPr>
        <w:pStyle w:val="CommentText"/>
        <w:bidi w:val="0"/>
        <w:spacing w:after="120" w:line="250" w:lineRule="exact"/>
        <w:ind w:left="397"/>
        <w:jc w:val="both"/>
        <w:rPr>
          <w:rFonts w:ascii="Georgia" w:hAnsi="Georgia" w:cs="David"/>
          <w:sz w:val="18"/>
        </w:rPr>
      </w:pPr>
      <w:hyperlink r:id="rId47" w:history="1">
        <w:r w:rsidRPr="00597FB3">
          <w:rPr>
            <w:rStyle w:val="Hyperlink"/>
            <w:rFonts w:ascii="Georgia" w:hAnsi="Georgia" w:cs="David"/>
            <w:sz w:val="18"/>
          </w:rPr>
          <w:t>https://doi.org/10.1332/policypress/9781447345510.001.0001</w:t>
        </w:r>
      </w:hyperlink>
    </w:p>
    <w:p w14:paraId="6809D320" w14:textId="77777777" w:rsidR="00477056" w:rsidRPr="00477056" w:rsidRDefault="00477056" w:rsidP="000425F6">
      <w:pPr>
        <w:autoSpaceDE w:val="0"/>
        <w:autoSpaceDN w:val="0"/>
        <w:bidi w:val="0"/>
        <w:adjustRightInd w:val="0"/>
        <w:spacing w:after="180" w:line="250" w:lineRule="exact"/>
        <w:ind w:left="397" w:hanging="397"/>
        <w:jc w:val="both"/>
        <w:rPr>
          <w:rFonts w:ascii="Georgia" w:hAnsi="Georgia"/>
          <w:sz w:val="18"/>
          <w:szCs w:val="20"/>
          <w:rtl/>
        </w:rPr>
      </w:pPr>
    </w:p>
    <w:sectPr w:rsidR="00477056" w:rsidRPr="00477056" w:rsidSect="00147130">
      <w:headerReference w:type="even" r:id="rId48"/>
      <w:headerReference w:type="default" r:id="rId49"/>
      <w:footerReference w:type="first" r:id="rId50"/>
      <w:pgSz w:w="11906" w:h="16838" w:code="9"/>
      <w:pgMar w:top="3515" w:right="2722" w:bottom="2948" w:left="2722" w:header="2665" w:footer="2665" w:gutter="0"/>
      <w:pgNumType w:start="2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465DA" w14:textId="77777777" w:rsidR="00212232" w:rsidRDefault="00212232">
      <w:pPr>
        <w:spacing w:line="240" w:lineRule="auto"/>
      </w:pPr>
      <w:r>
        <w:separator/>
      </w:r>
    </w:p>
  </w:endnote>
  <w:endnote w:type="continuationSeparator" w:id="0">
    <w:p w14:paraId="3FB6E4D2" w14:textId="77777777" w:rsidR="00212232" w:rsidRDefault="002122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54ECC" w14:textId="2823C398" w:rsidR="003C255E" w:rsidRDefault="00477056" w:rsidP="00477056">
    <w:pPr>
      <w:pStyle w:val="Header"/>
      <w:tabs>
        <w:tab w:val="clear" w:pos="4153"/>
        <w:tab w:val="clear" w:pos="8306"/>
        <w:tab w:val="right" w:pos="6462"/>
      </w:tabs>
      <w:spacing w:after="200" w:line="200" w:lineRule="exact"/>
      <w:rPr>
        <w:sz w:val="16"/>
        <w:szCs w:val="16"/>
      </w:rPr>
    </w:pPr>
    <w:r w:rsidRPr="00296EC2">
      <w:rPr>
        <w:rFonts w:hint="cs"/>
        <w:sz w:val="16"/>
        <w:szCs w:val="16"/>
        <w:rtl/>
      </w:rPr>
      <w:t>ביטחון סוציאלי</w:t>
    </w:r>
    <w:r w:rsidRPr="00296EC2">
      <w:rPr>
        <w:sz w:val="16"/>
        <w:szCs w:val="16"/>
        <w:rtl/>
      </w:rPr>
      <w:t xml:space="preserve"> </w:t>
    </w:r>
    <w:r w:rsidRPr="00296EC2">
      <w:rPr>
        <w:rFonts w:hint="cs"/>
        <w:sz w:val="16"/>
        <w:szCs w:val="16"/>
        <w:rtl/>
      </w:rPr>
      <w:t>123, אוקטובר 2024</w:t>
    </w:r>
    <w:r w:rsidR="00147130">
      <w:rPr>
        <w:rFonts w:hint="cs"/>
        <w:sz w:val="16"/>
        <w:szCs w:val="16"/>
        <w:rtl/>
      </w:rPr>
      <w:t>: 50-21</w:t>
    </w:r>
    <w:r w:rsidRPr="00296EC2">
      <w:rPr>
        <w:sz w:val="16"/>
        <w:szCs w:val="16"/>
      </w:rPr>
      <w:tab/>
    </w:r>
    <w:r w:rsidRPr="00296EC2">
      <w:rPr>
        <w:sz w:val="16"/>
        <w:szCs w:val="16"/>
        <w:rtl/>
      </w:rPr>
      <w:t xml:space="preserve">נשלח לפרסום ב-7.8.23, התקבל </w:t>
    </w:r>
    <w:r w:rsidR="00B0654C">
      <w:rPr>
        <w:sz w:val="16"/>
        <w:szCs w:val="16"/>
        <w:rtl/>
      </w:rPr>
      <w:t>ב-</w:t>
    </w:r>
    <w:r w:rsidRPr="00296EC2">
      <w:rPr>
        <w:sz w:val="16"/>
        <w:szCs w:val="16"/>
        <w:rtl/>
      </w:rPr>
      <w:t>27.1.24</w:t>
    </w: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BC684" w14:textId="77777777" w:rsidR="00212232" w:rsidRDefault="00212232" w:rsidP="00A04D35">
      <w:pPr>
        <w:spacing w:before="120" w:after="80"/>
        <w:rPr>
          <w:rFonts w:cs="FrankRuehl"/>
          <w:sz w:val="18"/>
          <w:szCs w:val="18"/>
        </w:rPr>
      </w:pPr>
      <w:r>
        <w:rPr>
          <w:rFonts w:cs="FrankRuehl" w:hint="cs"/>
          <w:sz w:val="18"/>
          <w:szCs w:val="18"/>
          <w:rtl/>
        </w:rPr>
        <w:t>_____________</w:t>
      </w:r>
    </w:p>
  </w:footnote>
  <w:footnote w:type="continuationSeparator" w:id="0">
    <w:p w14:paraId="1AFFF862" w14:textId="77777777" w:rsidR="00212232" w:rsidRDefault="00212232">
      <w:r>
        <w:continuationSeparator/>
      </w:r>
    </w:p>
  </w:footnote>
  <w:footnote w:type="continuationNotice" w:id="1">
    <w:p w14:paraId="3AD1D3E9" w14:textId="77777777" w:rsidR="00212232" w:rsidRDefault="00212232">
      <w:pPr>
        <w:rPr>
          <w:rtl/>
        </w:rPr>
      </w:pPr>
    </w:p>
  </w:footnote>
  <w:footnote w:id="2">
    <w:p w14:paraId="3F2EE4B7" w14:textId="7CBC6B28" w:rsidR="00477056" w:rsidRDefault="00477056" w:rsidP="00477056">
      <w:pPr>
        <w:pStyle w:val="FootnoteText"/>
        <w:keepLines/>
        <w:spacing w:after="120" w:line="200" w:lineRule="exact"/>
        <w:ind w:left="397" w:hanging="397"/>
        <w:jc w:val="both"/>
        <w:rPr>
          <w:rStyle w:val="FootnoteReference"/>
          <w:rFonts w:cs="David"/>
          <w:sz w:val="14"/>
          <w:szCs w:val="16"/>
          <w:vertAlign w:val="baseline"/>
        </w:rPr>
      </w:pPr>
      <w:r w:rsidRPr="00477056">
        <w:rPr>
          <w:rStyle w:val="FootnoteReference"/>
          <w:rFonts w:cs="David" w:hint="cs"/>
          <w:sz w:val="14"/>
          <w:szCs w:val="16"/>
          <w:vertAlign w:val="baseline"/>
          <w:rtl/>
        </w:rPr>
        <w:t>המחקר נערך בתמיכת קרן האקדמיה הלאומית למדעים (מענק מס' 2066/20)</w:t>
      </w:r>
    </w:p>
    <w:p w14:paraId="4F641572" w14:textId="34DA8BB8" w:rsidR="00477056" w:rsidRDefault="00477056" w:rsidP="00477056">
      <w:pPr>
        <w:pStyle w:val="FootnoteText"/>
        <w:keepLines/>
        <w:spacing w:line="200" w:lineRule="exact"/>
        <w:ind w:left="397" w:hanging="397"/>
        <w:jc w:val="both"/>
        <w:rPr>
          <w:rFonts w:cs="David"/>
          <w:sz w:val="14"/>
          <w:szCs w:val="16"/>
          <w:rtl/>
        </w:rPr>
      </w:pPr>
      <w:r w:rsidRPr="00477056">
        <w:rPr>
          <w:rStyle w:val="FootnoteReference"/>
          <w:rFonts w:cs="David"/>
          <w:sz w:val="14"/>
          <w:szCs w:val="16"/>
          <w:vertAlign w:val="baseline"/>
        </w:rPr>
        <w:footnoteRef/>
      </w:r>
      <w:r w:rsidRPr="00477056">
        <w:rPr>
          <w:rStyle w:val="FootnoteReference"/>
          <w:rFonts w:cs="David"/>
          <w:sz w:val="14"/>
          <w:szCs w:val="16"/>
          <w:vertAlign w:val="baseline"/>
          <w:rtl/>
        </w:rPr>
        <w:t xml:space="preserve"> </w:t>
      </w:r>
      <w:r w:rsidRPr="00477056">
        <w:rPr>
          <w:rStyle w:val="FootnoteReference"/>
          <w:rFonts w:cs="David"/>
          <w:sz w:val="14"/>
          <w:szCs w:val="16"/>
          <w:vertAlign w:val="baseline"/>
          <w:rtl/>
        </w:rPr>
        <w:tab/>
      </w:r>
      <w:r w:rsidRPr="00477056">
        <w:rPr>
          <w:rStyle w:val="FootnoteReference"/>
          <w:rFonts w:cs="David" w:hint="cs"/>
          <w:sz w:val="14"/>
          <w:szCs w:val="16"/>
          <w:vertAlign w:val="baseline"/>
          <w:rtl/>
        </w:rPr>
        <w:t xml:space="preserve">דוקטור, המחלקה לעבודה סוציאלית ע"ש שפיצר, אוניברסיטת בן-גוריון בנגב </w:t>
      </w:r>
    </w:p>
    <w:p w14:paraId="3D7BF5D0" w14:textId="796FAFE4" w:rsidR="00F32D58" w:rsidRPr="00477056" w:rsidRDefault="00F32D58" w:rsidP="00F32D58">
      <w:pPr>
        <w:pStyle w:val="FootnoteText"/>
        <w:keepLines/>
        <w:bidi w:val="0"/>
        <w:spacing w:line="200" w:lineRule="exact"/>
        <w:ind w:left="397" w:hanging="397"/>
        <w:jc w:val="both"/>
        <w:rPr>
          <w:rStyle w:val="FootnoteReference"/>
          <w:rFonts w:cs="David"/>
          <w:sz w:val="14"/>
          <w:szCs w:val="16"/>
          <w:vertAlign w:val="baseline"/>
        </w:rPr>
      </w:pPr>
      <w:hyperlink r:id="rId1" w:history="1">
        <w:r w:rsidRPr="00F32D58">
          <w:rPr>
            <w:rStyle w:val="Hyperlink"/>
            <w:rFonts w:cs="David"/>
            <w:sz w:val="14"/>
            <w:szCs w:val="16"/>
          </w:rPr>
          <w:t>https://orchid.org/0000-0003-4927-3790</w:t>
        </w:r>
      </w:hyperlink>
    </w:p>
  </w:footnote>
  <w:footnote w:id="3">
    <w:p w14:paraId="4D97A1DC" w14:textId="28994AC0" w:rsidR="00477056" w:rsidRDefault="00477056" w:rsidP="00477056">
      <w:pPr>
        <w:pStyle w:val="FootnoteText"/>
        <w:keepLines/>
        <w:spacing w:line="200" w:lineRule="exact"/>
        <w:ind w:left="397" w:hanging="397"/>
        <w:jc w:val="both"/>
        <w:rPr>
          <w:rFonts w:cs="David"/>
          <w:sz w:val="14"/>
          <w:szCs w:val="16"/>
        </w:rPr>
      </w:pPr>
      <w:r w:rsidRPr="00477056">
        <w:rPr>
          <w:rStyle w:val="FootnoteReference"/>
          <w:rFonts w:cs="David"/>
          <w:sz w:val="14"/>
          <w:szCs w:val="16"/>
          <w:vertAlign w:val="baseline"/>
        </w:rPr>
        <w:footnoteRef/>
      </w:r>
      <w:r w:rsidRPr="00477056">
        <w:rPr>
          <w:rStyle w:val="FootnoteReference"/>
          <w:rFonts w:cs="David"/>
          <w:sz w:val="14"/>
          <w:szCs w:val="16"/>
          <w:vertAlign w:val="baseline"/>
          <w:rtl/>
        </w:rPr>
        <w:t xml:space="preserve"> </w:t>
      </w:r>
      <w:r w:rsidRPr="00477056">
        <w:rPr>
          <w:rStyle w:val="FootnoteReference"/>
          <w:rFonts w:cs="David"/>
          <w:sz w:val="14"/>
          <w:szCs w:val="16"/>
          <w:vertAlign w:val="baseline"/>
          <w:rtl/>
        </w:rPr>
        <w:tab/>
      </w:r>
      <w:r w:rsidRPr="00477056">
        <w:rPr>
          <w:rStyle w:val="FootnoteReference"/>
          <w:rFonts w:cs="David" w:hint="cs"/>
          <w:sz w:val="14"/>
          <w:szCs w:val="16"/>
          <w:vertAlign w:val="baseline"/>
          <w:rtl/>
        </w:rPr>
        <w:t>פרופסור, המחלקה לעבודה סוציאלית ע"ש שפיצר, אוניברסיטת בן-גוריון בנגב</w:t>
      </w:r>
      <w:r w:rsidR="00DA0DE3">
        <w:rPr>
          <w:rFonts w:cs="David" w:hint="cs"/>
          <w:sz w:val="14"/>
          <w:szCs w:val="16"/>
          <w:rtl/>
        </w:rPr>
        <w:t xml:space="preserve"> </w:t>
      </w:r>
    </w:p>
    <w:bookmarkStart w:id="1" w:name="_Hlk179840733"/>
    <w:p w14:paraId="6DF1638C" w14:textId="41C439A3" w:rsidR="00DA0DE3" w:rsidRPr="00DA0DE3" w:rsidRDefault="00F32D58" w:rsidP="003204AA">
      <w:pPr>
        <w:pStyle w:val="FootnoteText"/>
        <w:keepLines/>
        <w:bidi w:val="0"/>
        <w:spacing w:line="200" w:lineRule="exact"/>
        <w:ind w:left="397" w:hanging="397"/>
        <w:rPr>
          <w:rStyle w:val="FootnoteReference"/>
          <w:rFonts w:ascii="Georgia" w:hAnsi="Georgia" w:cs="David"/>
          <w:sz w:val="14"/>
          <w:szCs w:val="16"/>
          <w:vertAlign w:val="baseline"/>
        </w:rPr>
      </w:pPr>
      <w:r>
        <w:rPr>
          <w:rStyle w:val="FootnoteReference"/>
          <w:rFonts w:ascii="Georgia" w:hAnsi="Georgia" w:cs="David"/>
          <w:sz w:val="14"/>
          <w:szCs w:val="16"/>
          <w:vertAlign w:val="baseline"/>
        </w:rPr>
        <w:fldChar w:fldCharType="begin"/>
      </w:r>
      <w:r>
        <w:rPr>
          <w:rStyle w:val="FootnoteReference"/>
          <w:rFonts w:ascii="Georgia" w:hAnsi="Georgia" w:cs="David"/>
          <w:sz w:val="14"/>
          <w:szCs w:val="16"/>
          <w:vertAlign w:val="baseline"/>
        </w:rPr>
        <w:instrText>HYPERLINK "https://orcid.org/0000-0003-0813-5439"</w:instrText>
      </w:r>
      <w:r>
        <w:rPr>
          <w:rStyle w:val="FootnoteReference"/>
          <w:rFonts w:ascii="Georgia" w:hAnsi="Georgia" w:cs="David"/>
          <w:sz w:val="14"/>
          <w:szCs w:val="16"/>
          <w:vertAlign w:val="baseline"/>
        </w:rPr>
      </w:r>
      <w:r>
        <w:rPr>
          <w:rStyle w:val="FootnoteReference"/>
          <w:rFonts w:ascii="Georgia" w:hAnsi="Georgia" w:cs="David"/>
          <w:sz w:val="14"/>
          <w:szCs w:val="16"/>
          <w:vertAlign w:val="baseline"/>
        </w:rPr>
        <w:fldChar w:fldCharType="separate"/>
      </w:r>
      <w:r w:rsidR="00DA0DE3" w:rsidRPr="00F32D58">
        <w:rPr>
          <w:rStyle w:val="Hyperlink"/>
          <w:rFonts w:ascii="Georgia" w:hAnsi="Georgia" w:cs="David"/>
          <w:sz w:val="14"/>
          <w:szCs w:val="16"/>
        </w:rPr>
        <w:t>https://orcid.org/0000-0003-0813-5439</w:t>
      </w:r>
      <w:r>
        <w:rPr>
          <w:rStyle w:val="FootnoteReference"/>
          <w:rFonts w:ascii="Georgia" w:hAnsi="Georgia" w:cs="David"/>
          <w:sz w:val="14"/>
          <w:szCs w:val="16"/>
          <w:vertAlign w:val="baseline"/>
        </w:rPr>
        <w:fldChar w:fldCharType="end"/>
      </w:r>
    </w:p>
    <w:bookmarkEnd w:id="1"/>
  </w:footnote>
  <w:footnote w:id="4">
    <w:p w14:paraId="4D2960E5" w14:textId="77777777" w:rsidR="00477056" w:rsidRDefault="00477056" w:rsidP="00477056">
      <w:pPr>
        <w:pStyle w:val="FootnoteText"/>
        <w:keepLines/>
        <w:spacing w:line="200" w:lineRule="exact"/>
        <w:ind w:left="397" w:hanging="397"/>
        <w:jc w:val="both"/>
        <w:rPr>
          <w:rFonts w:cs="David"/>
          <w:sz w:val="14"/>
          <w:szCs w:val="16"/>
          <w:rtl/>
        </w:rPr>
      </w:pPr>
      <w:r w:rsidRPr="00477056">
        <w:rPr>
          <w:rStyle w:val="FootnoteReference"/>
          <w:rFonts w:cs="David"/>
          <w:sz w:val="14"/>
          <w:szCs w:val="16"/>
          <w:vertAlign w:val="baseline"/>
        </w:rPr>
        <w:footnoteRef/>
      </w:r>
      <w:r w:rsidRPr="00477056">
        <w:rPr>
          <w:rStyle w:val="FootnoteReference"/>
          <w:rFonts w:cs="David"/>
          <w:sz w:val="14"/>
          <w:szCs w:val="16"/>
          <w:vertAlign w:val="baseline"/>
          <w:rtl/>
        </w:rPr>
        <w:t xml:space="preserve"> </w:t>
      </w:r>
      <w:r w:rsidRPr="00477056">
        <w:rPr>
          <w:rStyle w:val="FootnoteReference"/>
          <w:rFonts w:cs="David"/>
          <w:sz w:val="14"/>
          <w:szCs w:val="16"/>
          <w:vertAlign w:val="baseline"/>
          <w:rtl/>
        </w:rPr>
        <w:tab/>
      </w:r>
      <w:r w:rsidRPr="00477056">
        <w:rPr>
          <w:rStyle w:val="FootnoteReference"/>
          <w:rFonts w:cs="David" w:hint="cs"/>
          <w:sz w:val="14"/>
          <w:szCs w:val="16"/>
          <w:vertAlign w:val="baseline"/>
          <w:rtl/>
        </w:rPr>
        <w:t xml:space="preserve">דוקטור, המחלקה לעבודה סוציאלית ע"ש שפיצר, אוניברסיטת בן-גוריון בנגב </w:t>
      </w:r>
    </w:p>
    <w:p w14:paraId="4DE48668" w14:textId="6C90BC63" w:rsidR="00F32D58" w:rsidRPr="00477056" w:rsidRDefault="00F32D58" w:rsidP="00F32D58">
      <w:pPr>
        <w:pStyle w:val="FootnoteText"/>
        <w:keepLines/>
        <w:bidi w:val="0"/>
        <w:spacing w:line="200" w:lineRule="exact"/>
        <w:ind w:left="397" w:hanging="397"/>
        <w:jc w:val="both"/>
        <w:rPr>
          <w:rStyle w:val="FootnoteReference"/>
          <w:rFonts w:cs="David"/>
          <w:sz w:val="14"/>
          <w:szCs w:val="16"/>
          <w:vertAlign w:val="baseline"/>
          <w:rtl/>
        </w:rPr>
      </w:pPr>
      <w:hyperlink r:id="rId2" w:history="1">
        <w:r w:rsidRPr="00F32D58">
          <w:rPr>
            <w:rStyle w:val="Hyperlink"/>
            <w:rFonts w:cs="David"/>
            <w:sz w:val="14"/>
            <w:szCs w:val="16"/>
          </w:rPr>
          <w:t>https://orcid.org/0000-0002-7047-5736</w:t>
        </w:r>
      </w:hyperlink>
    </w:p>
  </w:footnote>
  <w:footnote w:id="5">
    <w:p w14:paraId="47770137" w14:textId="77777777" w:rsidR="00477056" w:rsidRPr="00477056" w:rsidRDefault="00477056" w:rsidP="00DA0DE3">
      <w:pPr>
        <w:pStyle w:val="FootnoteText"/>
        <w:keepLines/>
        <w:spacing w:after="180" w:line="200" w:lineRule="exact"/>
        <w:ind w:left="397" w:hanging="397"/>
        <w:jc w:val="both"/>
        <w:rPr>
          <w:rStyle w:val="FootnoteReference"/>
          <w:rFonts w:cs="David"/>
          <w:sz w:val="14"/>
          <w:szCs w:val="16"/>
          <w:vertAlign w:val="baseline"/>
        </w:rPr>
      </w:pPr>
      <w:r w:rsidRPr="00477056">
        <w:rPr>
          <w:rStyle w:val="FootnoteReference"/>
          <w:rFonts w:cs="David"/>
          <w:sz w:val="14"/>
          <w:szCs w:val="16"/>
          <w:vertAlign w:val="baseline"/>
        </w:rPr>
        <w:footnoteRef/>
      </w:r>
      <w:r w:rsidRPr="00477056">
        <w:rPr>
          <w:rStyle w:val="FootnoteReference"/>
          <w:rFonts w:cs="David"/>
          <w:sz w:val="14"/>
          <w:szCs w:val="16"/>
          <w:vertAlign w:val="baseline"/>
          <w:rtl/>
        </w:rPr>
        <w:t xml:space="preserve"> </w:t>
      </w:r>
      <w:r w:rsidRPr="00477056">
        <w:rPr>
          <w:rStyle w:val="FootnoteReference"/>
          <w:rFonts w:cs="David"/>
          <w:sz w:val="14"/>
          <w:szCs w:val="16"/>
          <w:vertAlign w:val="baseline"/>
          <w:rtl/>
        </w:rPr>
        <w:tab/>
      </w:r>
      <w:r w:rsidRPr="00477056">
        <w:rPr>
          <w:rStyle w:val="FootnoteReference"/>
          <w:rFonts w:cs="David" w:hint="cs"/>
          <w:sz w:val="14"/>
          <w:szCs w:val="16"/>
          <w:vertAlign w:val="baseline"/>
          <w:rtl/>
        </w:rPr>
        <w:t xml:space="preserve">היות שרוב המרואיינות היו נשים, הניסוח הוא בלשון נקבה. </w:t>
      </w:r>
    </w:p>
  </w:footnote>
  <w:footnote w:id="6">
    <w:p w14:paraId="3B767485" w14:textId="6B19205F" w:rsidR="00477056" w:rsidRPr="004F6698" w:rsidRDefault="00477056" w:rsidP="004F6698">
      <w:pPr>
        <w:pStyle w:val="FootnoteText"/>
        <w:keepLines/>
        <w:spacing w:after="240" w:line="200" w:lineRule="exact"/>
        <w:ind w:left="397" w:hanging="397"/>
        <w:jc w:val="both"/>
        <w:rPr>
          <w:rStyle w:val="FootnoteReference"/>
          <w:rFonts w:cs="David"/>
          <w:sz w:val="14"/>
          <w:szCs w:val="16"/>
          <w:vertAlign w:val="baseline"/>
          <w:rtl/>
        </w:rPr>
      </w:pPr>
      <w:r w:rsidRPr="004F6698">
        <w:rPr>
          <w:rStyle w:val="FootnoteReference"/>
          <w:rFonts w:cs="David"/>
          <w:sz w:val="14"/>
          <w:szCs w:val="16"/>
          <w:vertAlign w:val="baseline"/>
        </w:rPr>
        <w:footnoteRef/>
      </w:r>
      <w:r w:rsidRPr="004F6698">
        <w:rPr>
          <w:rStyle w:val="FootnoteReference"/>
          <w:rFonts w:cs="David"/>
          <w:sz w:val="14"/>
          <w:szCs w:val="16"/>
          <w:vertAlign w:val="baseline"/>
          <w:rtl/>
        </w:rPr>
        <w:t xml:space="preserve"> </w:t>
      </w:r>
      <w:r w:rsidR="004F6698">
        <w:rPr>
          <w:rStyle w:val="FootnoteReference"/>
          <w:rFonts w:cs="David"/>
          <w:sz w:val="14"/>
          <w:szCs w:val="16"/>
          <w:vertAlign w:val="baseline"/>
          <w:rtl/>
        </w:rPr>
        <w:tab/>
      </w:r>
      <w:r w:rsidRPr="004F6698">
        <w:rPr>
          <w:rStyle w:val="FootnoteReference"/>
          <w:rFonts w:cs="David"/>
          <w:sz w:val="14"/>
          <w:szCs w:val="16"/>
          <w:vertAlign w:val="baseline"/>
          <w:rtl/>
        </w:rPr>
        <w:t xml:space="preserve">להבחנה בין תפיסות של רגישות תרבותית לבין תפיסות ביקורתיות של תרבות בקרב </w:t>
      </w:r>
      <w:r w:rsidRPr="004F6698">
        <w:rPr>
          <w:rStyle w:val="FootnoteReference"/>
          <w:rFonts w:cs="David" w:hint="cs"/>
          <w:sz w:val="14"/>
          <w:szCs w:val="16"/>
          <w:vertAlign w:val="baseline"/>
          <w:rtl/>
        </w:rPr>
        <w:t xml:space="preserve">עובדות סוציאליות </w:t>
      </w:r>
      <w:r w:rsidRPr="004F6698">
        <w:rPr>
          <w:rStyle w:val="FootnoteReference"/>
          <w:rFonts w:cs="David"/>
          <w:sz w:val="14"/>
          <w:szCs w:val="16"/>
          <w:vertAlign w:val="baseline"/>
          <w:rtl/>
        </w:rPr>
        <w:t>יהודי</w:t>
      </w:r>
      <w:r w:rsidRPr="004F6698">
        <w:rPr>
          <w:rStyle w:val="FootnoteReference"/>
          <w:rFonts w:cs="David" w:hint="cs"/>
          <w:sz w:val="14"/>
          <w:szCs w:val="16"/>
          <w:vertAlign w:val="baseline"/>
          <w:rtl/>
        </w:rPr>
        <w:t>ות</w:t>
      </w:r>
      <w:r w:rsidRPr="004F6698">
        <w:rPr>
          <w:rStyle w:val="FootnoteReference"/>
          <w:rFonts w:cs="David"/>
          <w:sz w:val="14"/>
          <w:szCs w:val="16"/>
          <w:vertAlign w:val="baseline"/>
          <w:rtl/>
        </w:rPr>
        <w:t xml:space="preserve"> וערבי</w:t>
      </w:r>
      <w:r w:rsidRPr="004F6698">
        <w:rPr>
          <w:rStyle w:val="FootnoteReference"/>
          <w:rFonts w:cs="David" w:hint="cs"/>
          <w:sz w:val="14"/>
          <w:szCs w:val="16"/>
          <w:vertAlign w:val="baseline"/>
          <w:rtl/>
        </w:rPr>
        <w:t>ות</w:t>
      </w:r>
      <w:r w:rsidRPr="004F6698">
        <w:rPr>
          <w:rStyle w:val="FootnoteReference"/>
          <w:rFonts w:cs="David"/>
          <w:sz w:val="14"/>
          <w:szCs w:val="16"/>
          <w:vertAlign w:val="baseline"/>
          <w:rtl/>
        </w:rPr>
        <w:t xml:space="preserve"> בישראל ראו </w:t>
      </w:r>
      <w:r w:rsidRPr="004F6698">
        <w:rPr>
          <w:rStyle w:val="FootnoteReference"/>
          <w:rFonts w:cs="David"/>
          <w:sz w:val="14"/>
          <w:szCs w:val="16"/>
          <w:vertAlign w:val="baseline"/>
        </w:rPr>
        <w:t>Abu-Rayya et al., 2021</w:t>
      </w:r>
      <w:r w:rsidRPr="004F6698">
        <w:rPr>
          <w:rStyle w:val="FootnoteReference"/>
          <w:rFonts w:cs="David"/>
          <w:sz w:val="14"/>
          <w:szCs w:val="16"/>
          <w:vertAlign w:val="baseline"/>
          <w:rtl/>
        </w:rPr>
        <w:t>.</w:t>
      </w:r>
    </w:p>
  </w:footnote>
  <w:footnote w:id="7">
    <w:p w14:paraId="4A60EE7A" w14:textId="11BEA7B5" w:rsidR="00477056" w:rsidRPr="004F6698" w:rsidRDefault="00477056" w:rsidP="004F6698">
      <w:pPr>
        <w:pStyle w:val="FootnoteText"/>
        <w:keepLines/>
        <w:spacing w:line="200" w:lineRule="exact"/>
        <w:ind w:left="397" w:hanging="397"/>
        <w:jc w:val="both"/>
        <w:rPr>
          <w:rStyle w:val="FootnoteReference"/>
          <w:rFonts w:cs="David"/>
          <w:sz w:val="14"/>
          <w:szCs w:val="16"/>
          <w:vertAlign w:val="baseline"/>
          <w:rtl/>
        </w:rPr>
      </w:pPr>
      <w:r w:rsidRPr="004F6698">
        <w:rPr>
          <w:rStyle w:val="FootnoteReference"/>
          <w:rFonts w:cs="David"/>
          <w:sz w:val="14"/>
          <w:szCs w:val="16"/>
          <w:vertAlign w:val="baseline"/>
        </w:rPr>
        <w:footnoteRef/>
      </w:r>
      <w:r w:rsidRPr="004F6698">
        <w:rPr>
          <w:rStyle w:val="FootnoteReference"/>
          <w:rFonts w:cs="David"/>
          <w:sz w:val="14"/>
          <w:szCs w:val="16"/>
          <w:vertAlign w:val="baseline"/>
          <w:rtl/>
        </w:rPr>
        <w:t xml:space="preserve"> </w:t>
      </w:r>
      <w:r w:rsidR="004F6698">
        <w:rPr>
          <w:rStyle w:val="FootnoteReference"/>
          <w:rFonts w:cs="David"/>
          <w:sz w:val="14"/>
          <w:szCs w:val="16"/>
          <w:vertAlign w:val="baseline"/>
          <w:rtl/>
        </w:rPr>
        <w:tab/>
      </w:r>
      <w:r w:rsidRPr="004F6698">
        <w:rPr>
          <w:rStyle w:val="FootnoteReference"/>
          <w:rFonts w:cs="David" w:hint="cs"/>
          <w:sz w:val="14"/>
          <w:szCs w:val="16"/>
          <w:vertAlign w:val="baseline"/>
          <w:rtl/>
        </w:rPr>
        <w:t>ל</w:t>
      </w:r>
      <w:r w:rsidRPr="004F6698">
        <w:rPr>
          <w:rStyle w:val="FootnoteReference"/>
          <w:rFonts w:cs="David"/>
          <w:sz w:val="14"/>
          <w:szCs w:val="16"/>
          <w:vertAlign w:val="baseline"/>
          <w:rtl/>
        </w:rPr>
        <w:t xml:space="preserve">סקירה היסטורית </w:t>
      </w:r>
      <w:r w:rsidRPr="004F6698">
        <w:rPr>
          <w:rStyle w:val="FootnoteReference"/>
          <w:rFonts w:cs="David" w:hint="cs"/>
          <w:sz w:val="14"/>
          <w:szCs w:val="16"/>
          <w:vertAlign w:val="baseline"/>
          <w:rtl/>
        </w:rPr>
        <w:t>ש</w:t>
      </w:r>
      <w:r w:rsidRPr="004F6698">
        <w:rPr>
          <w:rStyle w:val="FootnoteReference"/>
          <w:rFonts w:cs="David"/>
          <w:sz w:val="14"/>
          <w:szCs w:val="16"/>
          <w:vertAlign w:val="baseline"/>
          <w:rtl/>
        </w:rPr>
        <w:t>ל התקציב הגמיש עד לשנ</w:t>
      </w:r>
      <w:r w:rsidRPr="004F6698">
        <w:rPr>
          <w:rStyle w:val="FootnoteReference"/>
          <w:rFonts w:cs="David" w:hint="cs"/>
          <w:sz w:val="14"/>
          <w:szCs w:val="16"/>
          <w:vertAlign w:val="baseline"/>
          <w:rtl/>
        </w:rPr>
        <w:t>ים האחרונות</w:t>
      </w:r>
      <w:r w:rsidRPr="004F6698">
        <w:rPr>
          <w:rStyle w:val="FootnoteReference"/>
          <w:rFonts w:cs="David"/>
          <w:sz w:val="14"/>
          <w:szCs w:val="16"/>
          <w:vertAlign w:val="baseline"/>
          <w:rtl/>
        </w:rPr>
        <w:t xml:space="preserve"> </w:t>
      </w:r>
      <w:r w:rsidRPr="004F6698">
        <w:rPr>
          <w:rStyle w:val="FootnoteReference"/>
          <w:rFonts w:cs="David" w:hint="cs"/>
          <w:sz w:val="14"/>
          <w:szCs w:val="16"/>
          <w:vertAlign w:val="baseline"/>
          <w:rtl/>
        </w:rPr>
        <w:t xml:space="preserve">ראו </w:t>
      </w:r>
      <w:r w:rsidRPr="004F6698">
        <w:rPr>
          <w:rStyle w:val="FootnoteReference"/>
          <w:rFonts w:cs="David"/>
          <w:sz w:val="14"/>
          <w:szCs w:val="16"/>
          <w:vertAlign w:val="baseline"/>
          <w:rtl/>
        </w:rPr>
        <w:t xml:space="preserve">אצל </w:t>
      </w:r>
      <w:r w:rsidRPr="004F6698">
        <w:rPr>
          <w:rStyle w:val="FootnoteReference"/>
          <w:rFonts w:cs="David" w:hint="cs"/>
          <w:sz w:val="14"/>
          <w:szCs w:val="16"/>
          <w:vertAlign w:val="baseline"/>
          <w:rtl/>
        </w:rPr>
        <w:t>גל ואח', 2019</w:t>
      </w:r>
      <w:r w:rsidRPr="004F6698">
        <w:rPr>
          <w:rStyle w:val="FootnoteReference"/>
          <w:rFonts w:cs="David"/>
          <w:sz w:val="14"/>
          <w:szCs w:val="16"/>
          <w:vertAlign w:val="baseline"/>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5A722" w14:textId="0B72E06C"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E8789B" w:rsidRPr="00E8789B">
      <w:rPr>
        <w:rFonts w:ascii="Georgia" w:hAnsi="Georgia" w:cs="Georgia"/>
        <w:noProof/>
        <w:sz w:val="24"/>
        <w:szCs w:val="24"/>
        <w:rtl/>
      </w:rPr>
      <w:t>24</w:t>
    </w:r>
    <w:r w:rsidRPr="004B1C8B">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433BD5">
      <w:rPr>
        <w:rFonts w:ascii="David" w:hAnsi="David" w:cs="David" w:hint="cs"/>
        <w:b w:val="0"/>
        <w:bCs w:val="0"/>
        <w:sz w:val="18"/>
        <w:szCs w:val="18"/>
        <w:rtl/>
      </w:rPr>
      <w:t>12</w:t>
    </w:r>
    <w:r w:rsidR="008C2664">
      <w:rPr>
        <w:rFonts w:ascii="David" w:hAnsi="David" w:cs="David" w:hint="cs"/>
        <w:b w:val="0"/>
        <w:bCs w:val="0"/>
        <w:sz w:val="18"/>
        <w:szCs w:val="18"/>
        <w:rt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979FA" w14:textId="51183440" w:rsidR="007667D8" w:rsidRPr="00CA633F" w:rsidRDefault="0007555E" w:rsidP="00446E1E">
    <w:pPr>
      <w:pStyle w:val="Heading1"/>
      <w:tabs>
        <w:tab w:val="center" w:pos="4536"/>
        <w:tab w:val="right" w:pos="9072"/>
      </w:tabs>
      <w:jc w:val="right"/>
      <w:rPr>
        <w:rFonts w:ascii="David" w:hAnsi="David" w:cs="David"/>
        <w:b w:val="0"/>
        <w:bCs w:val="0"/>
        <w:noProof/>
        <w:color w:val="A6A6A6"/>
        <w:sz w:val="20"/>
        <w:szCs w:val="20"/>
      </w:rPr>
    </w:pPr>
    <w:r w:rsidRPr="0007555E">
      <w:rPr>
        <w:rFonts w:ascii="David" w:hAnsi="David" w:cs="David"/>
        <w:b w:val="0"/>
        <w:bCs w:val="0"/>
        <w:noProof/>
        <w:sz w:val="18"/>
        <w:szCs w:val="18"/>
        <w:rtl/>
        <w:lang w:val="he-IL"/>
      </w:rPr>
      <w:t xml:space="preserve"> עבודה סוציאלית עם אנשים בעוני בחברה הערבית-פלסטינית בישראל</w:t>
    </w:r>
    <w:r w:rsidR="007667D8" w:rsidRPr="001403E5">
      <w:rPr>
        <w:rFonts w:ascii="David" w:hAnsi="David" w:cs="David"/>
        <w:b w:val="0"/>
        <w:bCs w:val="0"/>
        <w:noProof/>
        <w:sz w:val="18"/>
        <w:szCs w:val="18"/>
        <w:rtl/>
      </w:rPr>
      <w:t xml:space="preserve"> |  </w:t>
    </w:r>
    <w:r w:rsidR="007667D8" w:rsidRPr="004B1C8B">
      <w:rPr>
        <w:rFonts w:ascii="Georgia" w:hAnsi="Georgia" w:cs="Georgia"/>
        <w:noProof/>
        <w:sz w:val="24"/>
        <w:szCs w:val="24"/>
      </w:rPr>
      <w:fldChar w:fldCharType="begin"/>
    </w:r>
    <w:r w:rsidR="007667D8" w:rsidRPr="004B1C8B">
      <w:rPr>
        <w:rFonts w:ascii="Georgia" w:hAnsi="Georgia" w:cs="Georgia"/>
        <w:noProof/>
        <w:sz w:val="24"/>
        <w:szCs w:val="24"/>
      </w:rPr>
      <w:instrText xml:space="preserve"> PAGE   \* MERGEFORMAT </w:instrText>
    </w:r>
    <w:r w:rsidR="007667D8" w:rsidRPr="004B1C8B">
      <w:rPr>
        <w:rFonts w:ascii="Georgia" w:hAnsi="Georgia" w:cs="Georgia"/>
        <w:noProof/>
        <w:sz w:val="24"/>
        <w:szCs w:val="24"/>
      </w:rPr>
      <w:fldChar w:fldCharType="separate"/>
    </w:r>
    <w:r w:rsidR="00E8789B" w:rsidRPr="00E8789B">
      <w:rPr>
        <w:rFonts w:ascii="Georgia" w:hAnsi="Georgia" w:cs="Georgia"/>
        <w:noProof/>
        <w:sz w:val="24"/>
        <w:szCs w:val="24"/>
        <w:rtl/>
      </w:rPr>
      <w:t>25</w:t>
    </w:r>
    <w:r w:rsidR="007667D8" w:rsidRPr="004B1C8B">
      <w:rPr>
        <w:rFonts w:ascii="Georgia" w:hAnsi="Georgia" w:cs="Georgia"/>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A08B4"/>
    <w:multiLevelType w:val="multilevel"/>
    <w:tmpl w:val="4E42A2A6"/>
    <w:lvl w:ilvl="0">
      <w:start w:val="1"/>
      <w:numFmt w:val="none"/>
      <w:lvlText w:val="[כותרת ראשית]"/>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0ACB52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1" w15:restartNumberingAfterBreak="0">
    <w:nsid w:val="1A6142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826973"/>
    <w:multiLevelType w:val="hybridMultilevel"/>
    <w:tmpl w:val="468CC012"/>
    <w:lvl w:ilvl="0" w:tplc="15C807E2">
      <w:start w:val="1"/>
      <w:numFmt w:val="decimal"/>
      <w:lvlText w:val="%1."/>
      <w:lvlJc w:val="left"/>
      <w:pPr>
        <w:ind w:left="360" w:hanging="360"/>
      </w:pPr>
      <w:rPr>
        <w:rFonts w:cs="Narkisim" w:hint="default"/>
        <w:b w:val="0"/>
        <w:bCs w:val="0"/>
        <w:color w:val="auto"/>
        <w:lang w:val="en-US"/>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6"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742B3"/>
    <w:multiLevelType w:val="multilevel"/>
    <w:tmpl w:val="9CC22A80"/>
    <w:styleLink w:val="Style1"/>
    <w:lvl w:ilvl="0">
      <w:start w:val="1"/>
      <w:numFmt w:val="none"/>
      <w:lvlText w:val="כותרת ראשית"/>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26EFE"/>
    <w:multiLevelType w:val="hybridMultilevel"/>
    <w:tmpl w:val="13B21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D3603A"/>
    <w:multiLevelType w:val="hybridMultilevel"/>
    <w:tmpl w:val="AE8CB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87571A"/>
    <w:multiLevelType w:val="hybridMultilevel"/>
    <w:tmpl w:val="25244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9165D"/>
    <w:multiLevelType w:val="hybridMultilevel"/>
    <w:tmpl w:val="2360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A0A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9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B115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185ED2"/>
    <w:multiLevelType w:val="hybridMultilevel"/>
    <w:tmpl w:val="7020F67C"/>
    <w:lvl w:ilvl="0" w:tplc="33246DF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ED474C"/>
    <w:multiLevelType w:val="multilevel"/>
    <w:tmpl w:val="9CC22A80"/>
    <w:numStyleLink w:val="Style1"/>
  </w:abstractNum>
  <w:abstractNum w:abstractNumId="38"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1126977">
    <w:abstractNumId w:val="19"/>
  </w:num>
  <w:num w:numId="2" w16cid:durableId="177668949">
    <w:abstractNumId w:val="24"/>
  </w:num>
  <w:num w:numId="3" w16cid:durableId="363214434">
    <w:abstractNumId w:val="39"/>
  </w:num>
  <w:num w:numId="4" w16cid:durableId="1057095892">
    <w:abstractNumId w:val="29"/>
  </w:num>
  <w:num w:numId="5" w16cid:durableId="381561381">
    <w:abstractNumId w:val="10"/>
  </w:num>
  <w:num w:numId="6" w16cid:durableId="973753121">
    <w:abstractNumId w:val="28"/>
  </w:num>
  <w:num w:numId="7" w16cid:durableId="824856527">
    <w:abstractNumId w:val="21"/>
  </w:num>
  <w:num w:numId="8" w16cid:durableId="1575897086">
    <w:abstractNumId w:val="0"/>
  </w:num>
  <w:num w:numId="9" w16cid:durableId="1165052743">
    <w:abstractNumId w:val="9"/>
  </w:num>
  <w:num w:numId="10" w16cid:durableId="1853833869">
    <w:abstractNumId w:val="38"/>
  </w:num>
  <w:num w:numId="11" w16cid:durableId="184103921">
    <w:abstractNumId w:val="30"/>
  </w:num>
  <w:num w:numId="12" w16cid:durableId="1591741516">
    <w:abstractNumId w:val="25"/>
  </w:num>
  <w:num w:numId="13" w16cid:durableId="1119181729">
    <w:abstractNumId w:val="15"/>
  </w:num>
  <w:num w:numId="14" w16cid:durableId="464588265">
    <w:abstractNumId w:val="8"/>
  </w:num>
  <w:num w:numId="15" w16cid:durableId="1624191988">
    <w:abstractNumId w:val="14"/>
  </w:num>
  <w:num w:numId="16" w16cid:durableId="1948849899">
    <w:abstractNumId w:val="5"/>
  </w:num>
  <w:num w:numId="17" w16cid:durableId="1004208887">
    <w:abstractNumId w:val="40"/>
  </w:num>
  <w:num w:numId="18" w16cid:durableId="1147820181">
    <w:abstractNumId w:val="27"/>
  </w:num>
  <w:num w:numId="19" w16cid:durableId="2049720114">
    <w:abstractNumId w:val="12"/>
  </w:num>
  <w:num w:numId="20" w16cid:durableId="1195315872">
    <w:abstractNumId w:val="2"/>
  </w:num>
  <w:num w:numId="21" w16cid:durableId="1252273832">
    <w:abstractNumId w:val="1"/>
  </w:num>
  <w:num w:numId="22" w16cid:durableId="1400247563">
    <w:abstractNumId w:val="7"/>
  </w:num>
  <w:num w:numId="23" w16cid:durableId="33385981">
    <w:abstractNumId w:val="23"/>
  </w:num>
  <w:num w:numId="24" w16cid:durableId="1547256029">
    <w:abstractNumId w:val="17"/>
  </w:num>
  <w:num w:numId="25" w16cid:durableId="431098316">
    <w:abstractNumId w:val="22"/>
  </w:num>
  <w:num w:numId="26" w16cid:durableId="17439197">
    <w:abstractNumId w:val="6"/>
  </w:num>
  <w:num w:numId="27" w16cid:durableId="871310142">
    <w:abstractNumId w:val="16"/>
  </w:num>
  <w:num w:numId="28" w16cid:durableId="1825781482">
    <w:abstractNumId w:val="26"/>
  </w:num>
  <w:num w:numId="29" w16cid:durableId="1838955951">
    <w:abstractNumId w:val="20"/>
  </w:num>
  <w:num w:numId="30" w16cid:durableId="2090275068">
    <w:abstractNumId w:val="36"/>
  </w:num>
  <w:num w:numId="31" w16cid:durableId="100413934">
    <w:abstractNumId w:val="34"/>
  </w:num>
  <w:num w:numId="32" w16cid:durableId="2013025729">
    <w:abstractNumId w:val="33"/>
  </w:num>
  <w:num w:numId="33" w16cid:durableId="1137335021">
    <w:abstractNumId w:val="35"/>
  </w:num>
  <w:num w:numId="34" w16cid:durableId="1310672632">
    <w:abstractNumId w:val="4"/>
  </w:num>
  <w:num w:numId="35" w16cid:durableId="940599989">
    <w:abstractNumId w:val="31"/>
  </w:num>
  <w:num w:numId="36" w16cid:durableId="987247490">
    <w:abstractNumId w:val="11"/>
  </w:num>
  <w:num w:numId="37" w16cid:durableId="736778731">
    <w:abstractNumId w:val="13"/>
  </w:num>
  <w:num w:numId="38" w16cid:durableId="1848250459">
    <w:abstractNumId w:val="32"/>
  </w:num>
  <w:num w:numId="39" w16cid:durableId="304238540">
    <w:abstractNumId w:val="18"/>
  </w:num>
  <w:num w:numId="40" w16cid:durableId="942348418">
    <w:abstractNumId w:val="37"/>
  </w:num>
  <w:num w:numId="41" w16cid:durableId="1394816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EE7"/>
    <w:rsid w:val="000129F4"/>
    <w:rsid w:val="000425F6"/>
    <w:rsid w:val="00042A45"/>
    <w:rsid w:val="00046401"/>
    <w:rsid w:val="00051CFB"/>
    <w:rsid w:val="00053C6F"/>
    <w:rsid w:val="00053FEE"/>
    <w:rsid w:val="000552ED"/>
    <w:rsid w:val="00056DDA"/>
    <w:rsid w:val="000607EF"/>
    <w:rsid w:val="000660A4"/>
    <w:rsid w:val="00071D03"/>
    <w:rsid w:val="0007555E"/>
    <w:rsid w:val="00085D38"/>
    <w:rsid w:val="000871C5"/>
    <w:rsid w:val="000878B3"/>
    <w:rsid w:val="000879EC"/>
    <w:rsid w:val="0009099F"/>
    <w:rsid w:val="000A3731"/>
    <w:rsid w:val="000A7BCF"/>
    <w:rsid w:val="000C13C4"/>
    <w:rsid w:val="000C236E"/>
    <w:rsid w:val="000C3082"/>
    <w:rsid w:val="000C32F6"/>
    <w:rsid w:val="000D11B6"/>
    <w:rsid w:val="000E38FA"/>
    <w:rsid w:val="000E730A"/>
    <w:rsid w:val="000F1382"/>
    <w:rsid w:val="000F1BEB"/>
    <w:rsid w:val="000F7E33"/>
    <w:rsid w:val="000F7FCC"/>
    <w:rsid w:val="00107E86"/>
    <w:rsid w:val="00110404"/>
    <w:rsid w:val="00111FEC"/>
    <w:rsid w:val="001233C8"/>
    <w:rsid w:val="00126BBB"/>
    <w:rsid w:val="001403E5"/>
    <w:rsid w:val="00147130"/>
    <w:rsid w:val="00152DDF"/>
    <w:rsid w:val="00160BCD"/>
    <w:rsid w:val="00164AB3"/>
    <w:rsid w:val="00167C83"/>
    <w:rsid w:val="0018721E"/>
    <w:rsid w:val="00192386"/>
    <w:rsid w:val="001976E7"/>
    <w:rsid w:val="001A0002"/>
    <w:rsid w:val="001B018D"/>
    <w:rsid w:val="001C56DC"/>
    <w:rsid w:val="001D2C96"/>
    <w:rsid w:val="001F2763"/>
    <w:rsid w:val="001F60C4"/>
    <w:rsid w:val="002044C6"/>
    <w:rsid w:val="002119A7"/>
    <w:rsid w:val="00212232"/>
    <w:rsid w:val="00215E46"/>
    <w:rsid w:val="002235C7"/>
    <w:rsid w:val="00224C6A"/>
    <w:rsid w:val="00227591"/>
    <w:rsid w:val="00233CB2"/>
    <w:rsid w:val="00234C6B"/>
    <w:rsid w:val="00243FD7"/>
    <w:rsid w:val="002519BC"/>
    <w:rsid w:val="002574BB"/>
    <w:rsid w:val="00270882"/>
    <w:rsid w:val="00272B00"/>
    <w:rsid w:val="00297BAD"/>
    <w:rsid w:val="002B00EC"/>
    <w:rsid w:val="002B401D"/>
    <w:rsid w:val="002B7370"/>
    <w:rsid w:val="002C45DF"/>
    <w:rsid w:val="002C4FB7"/>
    <w:rsid w:val="002D1E69"/>
    <w:rsid w:val="002D5897"/>
    <w:rsid w:val="002E7282"/>
    <w:rsid w:val="002F0EE3"/>
    <w:rsid w:val="002F19A4"/>
    <w:rsid w:val="002F6052"/>
    <w:rsid w:val="002F60CF"/>
    <w:rsid w:val="00303665"/>
    <w:rsid w:val="003151B1"/>
    <w:rsid w:val="00317DCD"/>
    <w:rsid w:val="003204AA"/>
    <w:rsid w:val="0032119F"/>
    <w:rsid w:val="00330C8F"/>
    <w:rsid w:val="003337CA"/>
    <w:rsid w:val="00333DEF"/>
    <w:rsid w:val="00336EF9"/>
    <w:rsid w:val="00360F01"/>
    <w:rsid w:val="00374196"/>
    <w:rsid w:val="00395EC5"/>
    <w:rsid w:val="003A0A67"/>
    <w:rsid w:val="003A465D"/>
    <w:rsid w:val="003A62E0"/>
    <w:rsid w:val="003B537C"/>
    <w:rsid w:val="003B617A"/>
    <w:rsid w:val="003C255E"/>
    <w:rsid w:val="003C3C55"/>
    <w:rsid w:val="003C4EAD"/>
    <w:rsid w:val="003D1152"/>
    <w:rsid w:val="003D16D1"/>
    <w:rsid w:val="003D4AF9"/>
    <w:rsid w:val="00401641"/>
    <w:rsid w:val="0040182C"/>
    <w:rsid w:val="00405788"/>
    <w:rsid w:val="004100FE"/>
    <w:rsid w:val="004112B2"/>
    <w:rsid w:val="0041523F"/>
    <w:rsid w:val="00416142"/>
    <w:rsid w:val="004172AC"/>
    <w:rsid w:val="004216E4"/>
    <w:rsid w:val="00424C06"/>
    <w:rsid w:val="00433BD5"/>
    <w:rsid w:val="00433DFB"/>
    <w:rsid w:val="00446E1E"/>
    <w:rsid w:val="004513E0"/>
    <w:rsid w:val="004543DB"/>
    <w:rsid w:val="0045651F"/>
    <w:rsid w:val="00460742"/>
    <w:rsid w:val="004607FE"/>
    <w:rsid w:val="00463E35"/>
    <w:rsid w:val="0046547D"/>
    <w:rsid w:val="00466666"/>
    <w:rsid w:val="004675BD"/>
    <w:rsid w:val="00471658"/>
    <w:rsid w:val="004735F5"/>
    <w:rsid w:val="00477056"/>
    <w:rsid w:val="00493C94"/>
    <w:rsid w:val="00495D23"/>
    <w:rsid w:val="004A25A3"/>
    <w:rsid w:val="004A6753"/>
    <w:rsid w:val="004A6AA8"/>
    <w:rsid w:val="004A71EC"/>
    <w:rsid w:val="004A7955"/>
    <w:rsid w:val="004B0AB2"/>
    <w:rsid w:val="004B1A9A"/>
    <w:rsid w:val="004B1C8B"/>
    <w:rsid w:val="004C47F0"/>
    <w:rsid w:val="004F6698"/>
    <w:rsid w:val="00512B59"/>
    <w:rsid w:val="00514F6D"/>
    <w:rsid w:val="00514FD7"/>
    <w:rsid w:val="00527001"/>
    <w:rsid w:val="005368B8"/>
    <w:rsid w:val="00537276"/>
    <w:rsid w:val="005416E9"/>
    <w:rsid w:val="00550BEE"/>
    <w:rsid w:val="00555EA0"/>
    <w:rsid w:val="005579CB"/>
    <w:rsid w:val="005619D8"/>
    <w:rsid w:val="00566B82"/>
    <w:rsid w:val="00573FBB"/>
    <w:rsid w:val="00576127"/>
    <w:rsid w:val="00590289"/>
    <w:rsid w:val="00590AF2"/>
    <w:rsid w:val="005918B3"/>
    <w:rsid w:val="0059386B"/>
    <w:rsid w:val="005B2E85"/>
    <w:rsid w:val="005B6002"/>
    <w:rsid w:val="005C02D4"/>
    <w:rsid w:val="005C09E1"/>
    <w:rsid w:val="005C28F7"/>
    <w:rsid w:val="005D5F14"/>
    <w:rsid w:val="005D66AF"/>
    <w:rsid w:val="005E2D85"/>
    <w:rsid w:val="005F385C"/>
    <w:rsid w:val="005F635C"/>
    <w:rsid w:val="00602FED"/>
    <w:rsid w:val="00606992"/>
    <w:rsid w:val="006131D1"/>
    <w:rsid w:val="006154FA"/>
    <w:rsid w:val="0062321C"/>
    <w:rsid w:val="00625C22"/>
    <w:rsid w:val="006340F8"/>
    <w:rsid w:val="006358E3"/>
    <w:rsid w:val="00647292"/>
    <w:rsid w:val="006515FA"/>
    <w:rsid w:val="0065160D"/>
    <w:rsid w:val="00652D7C"/>
    <w:rsid w:val="00655CAB"/>
    <w:rsid w:val="0065797B"/>
    <w:rsid w:val="00657997"/>
    <w:rsid w:val="00671EDF"/>
    <w:rsid w:val="00677F28"/>
    <w:rsid w:val="006824DB"/>
    <w:rsid w:val="00683B19"/>
    <w:rsid w:val="006A01DD"/>
    <w:rsid w:val="006A07E8"/>
    <w:rsid w:val="006A5C0E"/>
    <w:rsid w:val="006B39AB"/>
    <w:rsid w:val="006B63C3"/>
    <w:rsid w:val="006B6B4A"/>
    <w:rsid w:val="006C10A7"/>
    <w:rsid w:val="006C5BE6"/>
    <w:rsid w:val="006D0F89"/>
    <w:rsid w:val="006D270A"/>
    <w:rsid w:val="006E0F39"/>
    <w:rsid w:val="006E3185"/>
    <w:rsid w:val="006F062C"/>
    <w:rsid w:val="00703617"/>
    <w:rsid w:val="00707EC7"/>
    <w:rsid w:val="007178F3"/>
    <w:rsid w:val="00721527"/>
    <w:rsid w:val="00723A4F"/>
    <w:rsid w:val="00723AC8"/>
    <w:rsid w:val="007240DD"/>
    <w:rsid w:val="00733272"/>
    <w:rsid w:val="007377A3"/>
    <w:rsid w:val="0075363F"/>
    <w:rsid w:val="007547EB"/>
    <w:rsid w:val="00754F2E"/>
    <w:rsid w:val="00761780"/>
    <w:rsid w:val="00764F92"/>
    <w:rsid w:val="007667D8"/>
    <w:rsid w:val="007747C6"/>
    <w:rsid w:val="00776EE2"/>
    <w:rsid w:val="00781208"/>
    <w:rsid w:val="00782E0D"/>
    <w:rsid w:val="007924C2"/>
    <w:rsid w:val="00793972"/>
    <w:rsid w:val="00796021"/>
    <w:rsid w:val="007A627A"/>
    <w:rsid w:val="007A6CDA"/>
    <w:rsid w:val="007B5724"/>
    <w:rsid w:val="007B7399"/>
    <w:rsid w:val="007C7168"/>
    <w:rsid w:val="007C726C"/>
    <w:rsid w:val="007D59DF"/>
    <w:rsid w:val="007E4FB7"/>
    <w:rsid w:val="007F29C9"/>
    <w:rsid w:val="007F47F6"/>
    <w:rsid w:val="007F632B"/>
    <w:rsid w:val="008243A6"/>
    <w:rsid w:val="00824B0A"/>
    <w:rsid w:val="00827A5F"/>
    <w:rsid w:val="00831730"/>
    <w:rsid w:val="00837F2F"/>
    <w:rsid w:val="00840D01"/>
    <w:rsid w:val="0084161C"/>
    <w:rsid w:val="0084618D"/>
    <w:rsid w:val="00867031"/>
    <w:rsid w:val="00882E53"/>
    <w:rsid w:val="00891BA5"/>
    <w:rsid w:val="008A4FAD"/>
    <w:rsid w:val="008A725B"/>
    <w:rsid w:val="008C1E74"/>
    <w:rsid w:val="008C2664"/>
    <w:rsid w:val="008D141E"/>
    <w:rsid w:val="008D3F13"/>
    <w:rsid w:val="008D401A"/>
    <w:rsid w:val="008F7821"/>
    <w:rsid w:val="009023FC"/>
    <w:rsid w:val="009041F4"/>
    <w:rsid w:val="0090527F"/>
    <w:rsid w:val="00905F54"/>
    <w:rsid w:val="0090645A"/>
    <w:rsid w:val="00913099"/>
    <w:rsid w:val="00916371"/>
    <w:rsid w:val="00921795"/>
    <w:rsid w:val="00944592"/>
    <w:rsid w:val="009465AD"/>
    <w:rsid w:val="009522CA"/>
    <w:rsid w:val="009533A1"/>
    <w:rsid w:val="00956C10"/>
    <w:rsid w:val="00962B88"/>
    <w:rsid w:val="00967935"/>
    <w:rsid w:val="009951D5"/>
    <w:rsid w:val="009B0512"/>
    <w:rsid w:val="009B18A6"/>
    <w:rsid w:val="009B53E8"/>
    <w:rsid w:val="009C42E2"/>
    <w:rsid w:val="009C4800"/>
    <w:rsid w:val="009C5E89"/>
    <w:rsid w:val="009D37D2"/>
    <w:rsid w:val="009D7325"/>
    <w:rsid w:val="009E30A1"/>
    <w:rsid w:val="009E3930"/>
    <w:rsid w:val="00A04D35"/>
    <w:rsid w:val="00A17DA2"/>
    <w:rsid w:val="00A20B01"/>
    <w:rsid w:val="00A25F44"/>
    <w:rsid w:val="00A27C04"/>
    <w:rsid w:val="00A36D7F"/>
    <w:rsid w:val="00A37A24"/>
    <w:rsid w:val="00A41FB6"/>
    <w:rsid w:val="00A54061"/>
    <w:rsid w:val="00A63C08"/>
    <w:rsid w:val="00A6479A"/>
    <w:rsid w:val="00A73CF4"/>
    <w:rsid w:val="00A74290"/>
    <w:rsid w:val="00A910EE"/>
    <w:rsid w:val="00A953FC"/>
    <w:rsid w:val="00A95F73"/>
    <w:rsid w:val="00AA4272"/>
    <w:rsid w:val="00AB0E31"/>
    <w:rsid w:val="00AC3F0C"/>
    <w:rsid w:val="00AE03A0"/>
    <w:rsid w:val="00AE0A3D"/>
    <w:rsid w:val="00AE31E1"/>
    <w:rsid w:val="00AE5B8C"/>
    <w:rsid w:val="00AF7379"/>
    <w:rsid w:val="00B045C9"/>
    <w:rsid w:val="00B0654C"/>
    <w:rsid w:val="00B23956"/>
    <w:rsid w:val="00B468E5"/>
    <w:rsid w:val="00B51168"/>
    <w:rsid w:val="00B56F6D"/>
    <w:rsid w:val="00B61AE1"/>
    <w:rsid w:val="00B65652"/>
    <w:rsid w:val="00B70975"/>
    <w:rsid w:val="00B81818"/>
    <w:rsid w:val="00B83F09"/>
    <w:rsid w:val="00B86148"/>
    <w:rsid w:val="00B94EE4"/>
    <w:rsid w:val="00BC1FB3"/>
    <w:rsid w:val="00BE0BCA"/>
    <w:rsid w:val="00BF5C14"/>
    <w:rsid w:val="00BF63F8"/>
    <w:rsid w:val="00BF71BD"/>
    <w:rsid w:val="00C13406"/>
    <w:rsid w:val="00C2342E"/>
    <w:rsid w:val="00C25D04"/>
    <w:rsid w:val="00C36CE5"/>
    <w:rsid w:val="00C44CE1"/>
    <w:rsid w:val="00C456EB"/>
    <w:rsid w:val="00C517A2"/>
    <w:rsid w:val="00C65584"/>
    <w:rsid w:val="00C7501F"/>
    <w:rsid w:val="00C80617"/>
    <w:rsid w:val="00C838F3"/>
    <w:rsid w:val="00C93533"/>
    <w:rsid w:val="00C94FE3"/>
    <w:rsid w:val="00CA2141"/>
    <w:rsid w:val="00CA3ACA"/>
    <w:rsid w:val="00CA56D2"/>
    <w:rsid w:val="00CA5B5A"/>
    <w:rsid w:val="00CA633F"/>
    <w:rsid w:val="00CA7399"/>
    <w:rsid w:val="00CA7495"/>
    <w:rsid w:val="00CD593B"/>
    <w:rsid w:val="00CF5FCA"/>
    <w:rsid w:val="00CF7A4A"/>
    <w:rsid w:val="00D0368A"/>
    <w:rsid w:val="00D07128"/>
    <w:rsid w:val="00D20154"/>
    <w:rsid w:val="00D20DE5"/>
    <w:rsid w:val="00D21D40"/>
    <w:rsid w:val="00D614D3"/>
    <w:rsid w:val="00D64480"/>
    <w:rsid w:val="00D73C8D"/>
    <w:rsid w:val="00D92080"/>
    <w:rsid w:val="00D9338F"/>
    <w:rsid w:val="00D94E6C"/>
    <w:rsid w:val="00DA0DE3"/>
    <w:rsid w:val="00DA1730"/>
    <w:rsid w:val="00DA26AC"/>
    <w:rsid w:val="00DB2F51"/>
    <w:rsid w:val="00DB39F5"/>
    <w:rsid w:val="00DB3EF0"/>
    <w:rsid w:val="00DB65E7"/>
    <w:rsid w:val="00DB7D8B"/>
    <w:rsid w:val="00DD08CB"/>
    <w:rsid w:val="00DE7A57"/>
    <w:rsid w:val="00DF1DCF"/>
    <w:rsid w:val="00DF30C9"/>
    <w:rsid w:val="00DF330D"/>
    <w:rsid w:val="00DF34C9"/>
    <w:rsid w:val="00E03AFB"/>
    <w:rsid w:val="00E051C3"/>
    <w:rsid w:val="00E14513"/>
    <w:rsid w:val="00E1683B"/>
    <w:rsid w:val="00E2538D"/>
    <w:rsid w:val="00E464CA"/>
    <w:rsid w:val="00E61D38"/>
    <w:rsid w:val="00E63B78"/>
    <w:rsid w:val="00E70915"/>
    <w:rsid w:val="00E8580A"/>
    <w:rsid w:val="00E8789B"/>
    <w:rsid w:val="00E94167"/>
    <w:rsid w:val="00E95DB4"/>
    <w:rsid w:val="00E97344"/>
    <w:rsid w:val="00EB524C"/>
    <w:rsid w:val="00EC69C7"/>
    <w:rsid w:val="00ED3C01"/>
    <w:rsid w:val="00ED6F02"/>
    <w:rsid w:val="00EF07B4"/>
    <w:rsid w:val="00EF498F"/>
    <w:rsid w:val="00F0418C"/>
    <w:rsid w:val="00F20863"/>
    <w:rsid w:val="00F20E96"/>
    <w:rsid w:val="00F216E0"/>
    <w:rsid w:val="00F22E88"/>
    <w:rsid w:val="00F243ED"/>
    <w:rsid w:val="00F3107D"/>
    <w:rsid w:val="00F32B2F"/>
    <w:rsid w:val="00F32D58"/>
    <w:rsid w:val="00F70364"/>
    <w:rsid w:val="00F76E57"/>
    <w:rsid w:val="00F84B24"/>
    <w:rsid w:val="00F966A8"/>
    <w:rsid w:val="00FA0917"/>
    <w:rsid w:val="00FB439C"/>
    <w:rsid w:val="00FB4B8A"/>
    <w:rsid w:val="00FD1A0B"/>
    <w:rsid w:val="00FE23FD"/>
    <w:rsid w:val="00FE2CBF"/>
    <w:rsid w:val="00FE7079"/>
    <w:rsid w:val="00FF009D"/>
    <w:rsid w:val="00FF1A60"/>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99"/>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3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styleId="TOC1">
    <w:name w:val="toc 1"/>
    <w:basedOn w:val="Normal"/>
    <w:next w:val="Normal"/>
    <w:autoRedefine/>
    <w:uiPriority w:val="39"/>
    <w:unhideWhenUsed/>
    <w:rsid w:val="00477056"/>
    <w:pPr>
      <w:spacing w:before="120" w:after="100" w:line="480" w:lineRule="auto"/>
      <w:ind w:firstLine="454"/>
      <w:jc w:val="both"/>
    </w:pPr>
    <w:rPr>
      <w:rFonts w:ascii="David" w:hAnsi="David"/>
      <w:color w:val="000000"/>
    </w:rPr>
  </w:style>
  <w:style w:type="paragraph" w:styleId="TOC2">
    <w:name w:val="toc 2"/>
    <w:basedOn w:val="Normal"/>
    <w:next w:val="Normal"/>
    <w:autoRedefine/>
    <w:uiPriority w:val="39"/>
    <w:unhideWhenUsed/>
    <w:rsid w:val="00477056"/>
    <w:pPr>
      <w:spacing w:before="120" w:after="100" w:line="480" w:lineRule="auto"/>
      <w:ind w:left="240" w:firstLine="454"/>
      <w:jc w:val="both"/>
    </w:pPr>
    <w:rPr>
      <w:rFonts w:ascii="David" w:hAnsi="David"/>
      <w:color w:val="000000"/>
    </w:rPr>
  </w:style>
  <w:style w:type="paragraph" w:styleId="TOC3">
    <w:name w:val="toc 3"/>
    <w:basedOn w:val="Normal"/>
    <w:next w:val="Normal"/>
    <w:autoRedefine/>
    <w:uiPriority w:val="39"/>
    <w:unhideWhenUsed/>
    <w:rsid w:val="00477056"/>
    <w:pPr>
      <w:spacing w:before="120" w:after="100" w:line="480" w:lineRule="auto"/>
      <w:ind w:left="480" w:firstLine="454"/>
      <w:jc w:val="both"/>
    </w:pPr>
    <w:rPr>
      <w:rFonts w:ascii="David" w:hAnsi="David"/>
      <w:color w:val="000000"/>
    </w:rPr>
  </w:style>
  <w:style w:type="paragraph" w:customStyle="1" w:styleId="paragraph">
    <w:name w:val="paragraph"/>
    <w:basedOn w:val="Normal"/>
    <w:rsid w:val="00477056"/>
    <w:pPr>
      <w:bidi w:val="0"/>
      <w:spacing w:before="100" w:beforeAutospacing="1" w:after="100" w:afterAutospacing="1" w:line="240" w:lineRule="auto"/>
      <w:ind w:firstLine="454"/>
      <w:jc w:val="both"/>
    </w:pPr>
    <w:rPr>
      <w:rFonts w:cs="Times New Roman"/>
    </w:rPr>
  </w:style>
  <w:style w:type="character" w:customStyle="1" w:styleId="normaltextrun">
    <w:name w:val="normaltextrun"/>
    <w:basedOn w:val="DefaultParagraphFont"/>
    <w:rsid w:val="00477056"/>
  </w:style>
  <w:style w:type="character" w:customStyle="1" w:styleId="spellingerror">
    <w:name w:val="spellingerror"/>
    <w:basedOn w:val="DefaultParagraphFont"/>
    <w:rsid w:val="00477056"/>
  </w:style>
  <w:style w:type="character" w:customStyle="1" w:styleId="eop">
    <w:name w:val="eop"/>
    <w:basedOn w:val="DefaultParagraphFont"/>
    <w:rsid w:val="00477056"/>
  </w:style>
  <w:style w:type="character" w:customStyle="1" w:styleId="contextualspellingandgrammarerror">
    <w:name w:val="contextualspellingandgrammarerror"/>
    <w:basedOn w:val="DefaultParagraphFont"/>
    <w:rsid w:val="00477056"/>
  </w:style>
  <w:style w:type="paragraph" w:styleId="TOC4">
    <w:name w:val="toc 4"/>
    <w:basedOn w:val="Normal"/>
    <w:next w:val="Normal"/>
    <w:autoRedefine/>
    <w:uiPriority w:val="39"/>
    <w:unhideWhenUsed/>
    <w:rsid w:val="00477056"/>
    <w:pPr>
      <w:spacing w:before="120" w:after="100" w:line="480" w:lineRule="auto"/>
      <w:ind w:left="720" w:firstLine="454"/>
      <w:jc w:val="both"/>
    </w:pPr>
    <w:rPr>
      <w:rFonts w:ascii="David" w:hAnsi="David"/>
      <w:color w:val="000000"/>
    </w:rPr>
  </w:style>
  <w:style w:type="paragraph" w:customStyle="1" w:styleId="a1">
    <w:name w:val="ביבליו"/>
    <w:basedOn w:val="Normal"/>
    <w:link w:val="a2"/>
    <w:qFormat/>
    <w:rsid w:val="00477056"/>
    <w:pPr>
      <w:widowControl w:val="0"/>
      <w:spacing w:before="120" w:after="120" w:line="480" w:lineRule="auto"/>
      <w:ind w:left="-52" w:right="-425" w:hanging="425"/>
      <w:jc w:val="both"/>
    </w:pPr>
    <w:rPr>
      <w:rFonts w:cs="Times New Roman"/>
      <w:sz w:val="20"/>
      <w:szCs w:val="20"/>
      <w:lang w:val="x-none" w:eastAsia="he-IL"/>
    </w:rPr>
  </w:style>
  <w:style w:type="character" w:customStyle="1" w:styleId="a2">
    <w:name w:val="ביבליו תו"/>
    <w:link w:val="a1"/>
    <w:rsid w:val="00477056"/>
    <w:rPr>
      <w:lang w:val="x-none" w:eastAsia="he-IL"/>
    </w:rPr>
  </w:style>
  <w:style w:type="paragraph" w:customStyle="1" w:styleId="22">
    <w:name w:val="רגיל2"/>
    <w:basedOn w:val="Normal"/>
    <w:link w:val="23"/>
    <w:qFormat/>
    <w:rsid w:val="00477056"/>
    <w:pPr>
      <w:widowControl w:val="0"/>
      <w:spacing w:before="120" w:after="120" w:line="480" w:lineRule="auto"/>
      <w:ind w:left="-482" w:right="-425" w:firstLine="454"/>
      <w:jc w:val="both"/>
    </w:pPr>
    <w:rPr>
      <w:lang w:eastAsia="he-IL"/>
    </w:rPr>
  </w:style>
  <w:style w:type="character" w:customStyle="1" w:styleId="23">
    <w:name w:val="רגיל2 תו"/>
    <w:link w:val="22"/>
    <w:rsid w:val="00477056"/>
    <w:rPr>
      <w:rFonts w:cs="David"/>
      <w:sz w:val="24"/>
      <w:szCs w:val="24"/>
      <w:lang w:val="en-US" w:eastAsia="he-IL"/>
    </w:rPr>
  </w:style>
  <w:style w:type="paragraph" w:customStyle="1" w:styleId="13">
    <w:name w:val="רגיל1"/>
    <w:rsid w:val="00477056"/>
    <w:pPr>
      <w:spacing w:after="160" w:line="259" w:lineRule="auto"/>
    </w:pPr>
    <w:rPr>
      <w:rFonts w:ascii="Calibri" w:eastAsia="Calibri" w:hAnsi="Calibri" w:cs="Calibri"/>
      <w:sz w:val="22"/>
      <w:szCs w:val="22"/>
      <w:lang w:val="en-US" w:eastAsia="en-US"/>
    </w:rPr>
  </w:style>
  <w:style w:type="paragraph" w:styleId="Revision">
    <w:name w:val="Revision"/>
    <w:hidden/>
    <w:uiPriority w:val="99"/>
    <w:semiHidden/>
    <w:rsid w:val="00477056"/>
    <w:rPr>
      <w:rFonts w:ascii="David" w:hAnsi="David" w:cs="David"/>
      <w:color w:val="000000"/>
      <w:sz w:val="24"/>
      <w:szCs w:val="24"/>
      <w:lang w:val="en-US" w:eastAsia="en-US"/>
    </w:rPr>
  </w:style>
  <w:style w:type="numbering" w:customStyle="1" w:styleId="Style1">
    <w:name w:val="Style1"/>
    <w:uiPriority w:val="99"/>
    <w:rsid w:val="00477056"/>
    <w:pPr>
      <w:numPr>
        <w:numId w:val="39"/>
      </w:numPr>
    </w:pPr>
  </w:style>
  <w:style w:type="character" w:customStyle="1" w:styleId="anchor-text">
    <w:name w:val="anchor-text"/>
    <w:basedOn w:val="DefaultParagraphFont"/>
    <w:rsid w:val="00477056"/>
  </w:style>
  <w:style w:type="character" w:customStyle="1" w:styleId="UnresolvedMention10">
    <w:name w:val="Unresolved Mention1"/>
    <w:uiPriority w:val="99"/>
    <w:semiHidden/>
    <w:unhideWhenUsed/>
    <w:rsid w:val="00477056"/>
    <w:rPr>
      <w:color w:val="605E5C"/>
      <w:shd w:val="clear" w:color="auto" w:fill="E1DFDD"/>
    </w:rPr>
  </w:style>
  <w:style w:type="character" w:styleId="UnresolvedMention">
    <w:name w:val="Unresolved Mention"/>
    <w:basedOn w:val="DefaultParagraphFont"/>
    <w:uiPriority w:val="99"/>
    <w:semiHidden/>
    <w:unhideWhenUsed/>
    <w:rsid w:val="00F32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01425690500376309" TargetMode="External"/><Relationship Id="rId18" Type="http://schemas.openxmlformats.org/officeDocument/2006/relationships/hyperlink" Target="https://doi.org/10.1093/hsw/25.1.9" TargetMode="External"/><Relationship Id="rId26" Type="http://schemas.openxmlformats.org/officeDocument/2006/relationships/hyperlink" Target="https://doi.org/10.1080/00981389.2014.884039" TargetMode="External"/><Relationship Id="rId39" Type="http://schemas.openxmlformats.org/officeDocument/2006/relationships/hyperlink" Target="https://doi.org/10.1016/j.rssm.2013.07.002" TargetMode="External"/><Relationship Id="rId21" Type="http://schemas.openxmlformats.org/officeDocument/2006/relationships/hyperlink" Target="https://doi.org/10.4135/9781412975957.n23" TargetMode="External"/><Relationship Id="rId34" Type="http://schemas.openxmlformats.org/officeDocument/2006/relationships/hyperlink" Target="https://doi.org/10.1080/13691450601143682" TargetMode="External"/><Relationship Id="rId42" Type="http://schemas.openxmlformats.org/officeDocument/2006/relationships/hyperlink" Target="https://doi.org/10.1017/s0047279423000144" TargetMode="External"/><Relationship Id="rId47" Type="http://schemas.openxmlformats.org/officeDocument/2006/relationships/hyperlink" Target="https://doi.org/10.1332/policypress/9781447345510.001.0001" TargetMode="External"/><Relationship Id="rId50" Type="http://schemas.openxmlformats.org/officeDocument/2006/relationships/footer" Target="footer1.xml"/><Relationship Id="rId55"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93/bjsw/bcad219" TargetMode="External"/><Relationship Id="rId29" Type="http://schemas.openxmlformats.org/officeDocument/2006/relationships/hyperlink" Target="https://doi.org/10.1016/s0272-7358(97)00027-5" TargetMode="External"/><Relationship Id="rId11" Type="http://schemas.openxmlformats.org/officeDocument/2006/relationships/hyperlink" Target="https://doi.org/10.1525/ae.1990.17.1.02a00030" TargetMode="External"/><Relationship Id="rId24" Type="http://schemas.openxmlformats.org/officeDocument/2006/relationships/hyperlink" Target="https://doi.org/10.1093/bjsw/bcp153" TargetMode="External"/><Relationship Id="rId32" Type="http://schemas.openxmlformats.org/officeDocument/2006/relationships/hyperlink" Target="https://doi.org/10.1007/bf02249355" TargetMode="External"/><Relationship Id="rId37" Type="http://schemas.openxmlformats.org/officeDocument/2006/relationships/hyperlink" Target="https://doi.org/10.1177/0020872820959363" TargetMode="External"/><Relationship Id="rId40" Type="http://schemas.openxmlformats.org/officeDocument/2006/relationships/hyperlink" Target="https://doi.org/10.1177/00208728221091125" TargetMode="External"/><Relationship Id="rId45" Type="http://schemas.openxmlformats.org/officeDocument/2006/relationships/hyperlink" Target="https://doi.org/10.15453/0191-5096.3090" TargetMode="External"/><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hyperlink" Target="https://doi.org/10.1016/S0145-2134(02)00505-7" TargetMode="External"/><Relationship Id="rId19" Type="http://schemas.openxmlformats.org/officeDocument/2006/relationships/hyperlink" Target="https://doi.org/10.1093/bjsw/31.5.665" TargetMode="External"/><Relationship Id="rId31" Type="http://schemas.openxmlformats.org/officeDocument/2006/relationships/hyperlink" Target="https://doi.org/10.4324/9781315613758-28" TargetMode="External"/><Relationship Id="rId44" Type="http://schemas.openxmlformats.org/officeDocument/2006/relationships/hyperlink" Target="https://doi.org/10.1080/01494929.2017.135981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5175/jswe.2009.200700109" TargetMode="External"/><Relationship Id="rId14" Type="http://schemas.openxmlformats.org/officeDocument/2006/relationships/hyperlink" Target="https://www.jstor.org/stable/20459128" TargetMode="External"/><Relationship Id="rId22" Type="http://schemas.openxmlformats.org/officeDocument/2006/relationships/hyperlink" Target="https://doi.org/10.1080/01425692.2021.1902276" TargetMode="External"/><Relationship Id="rId27" Type="http://schemas.openxmlformats.org/officeDocument/2006/relationships/hyperlink" Target="https://doi.org/10.1080/10522158.2012.695323" TargetMode="External"/><Relationship Id="rId30" Type="http://schemas.openxmlformats.org/officeDocument/2006/relationships/hyperlink" Target="https://doi.org/10.1093/bjsw/bcz007" TargetMode="External"/><Relationship Id="rId35" Type="http://schemas.openxmlformats.org/officeDocument/2006/relationships/hyperlink" Target="https://doi.org/10.1177/0891243207302571" TargetMode="External"/><Relationship Id="rId43" Type="http://schemas.openxmlformats.org/officeDocument/2006/relationships/hyperlink" Target="https://doi.org/10.1037//0003-066x.57.2.100"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i.org/10.2174/1874350101104010034" TargetMode="External"/><Relationship Id="rId17" Type="http://schemas.openxmlformats.org/officeDocument/2006/relationships/hyperlink" Target="https://doi.org/10.1300/j010v35n01_12" TargetMode="External"/><Relationship Id="rId25" Type="http://schemas.openxmlformats.org/officeDocument/2006/relationships/hyperlink" Target="https://doi.org/10.1191/1478088706qp063oa" TargetMode="External"/><Relationship Id="rId33" Type="http://schemas.openxmlformats.org/officeDocument/2006/relationships/hyperlink" Target="https://doi.org/10.1111/j.1752-0606.2008.00049.x" TargetMode="External"/><Relationship Id="rId38" Type="http://schemas.openxmlformats.org/officeDocument/2006/relationships/hyperlink" Target="https://doi.org/10.1177/089124388002003004" TargetMode="External"/><Relationship Id="rId46" Type="http://schemas.openxmlformats.org/officeDocument/2006/relationships/hyperlink" Target="https://doi.org/10.1177/1077801213485548" TargetMode="External"/><Relationship Id="rId20" Type="http://schemas.openxmlformats.org/officeDocument/2006/relationships/hyperlink" Target="https://doi.org/10.1300/j013v34n01_01" TargetMode="External"/><Relationship Id="rId41" Type="http://schemas.openxmlformats.org/officeDocument/2006/relationships/hyperlink" Target="https://doi.org/10.1111/cfs.12443"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77/1468017320952241" TargetMode="External"/><Relationship Id="rId23" Type="http://schemas.openxmlformats.org/officeDocument/2006/relationships/hyperlink" Target="https://doi.org/10.1080/15426432.2022.2160409" TargetMode="External"/><Relationship Id="rId28" Type="http://schemas.openxmlformats.org/officeDocument/2006/relationships/hyperlink" Target="https://doi.org/10.1177/002087288803100106" TargetMode="External"/><Relationship Id="rId36" Type="http://schemas.openxmlformats.org/officeDocument/2006/relationships/hyperlink" Target="https://doi.org/10.2307/352858" TargetMode="External"/><Relationship Id="rId4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7047-5736" TargetMode="External"/><Relationship Id="rId1" Type="http://schemas.openxmlformats.org/officeDocument/2006/relationships/hyperlink" Target="https://orchid.org/0000-0003-4927-37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5472649C3F1A584ABED4F413A1EF26B2" ma:contentTypeVersion="1" ma:contentTypeDescription="צור מסמך חדש." ma:contentTypeScope="" ma:versionID="6c1a068e5b5587059932fddd85e01a10">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EB8CFD-C18A-4450-880E-5D0B3748DD88}">
  <ds:schemaRefs>
    <ds:schemaRef ds:uri="http://schemas.openxmlformats.org/officeDocument/2006/bibliography"/>
  </ds:schemaRefs>
</ds:datastoreItem>
</file>

<file path=customXml/itemProps2.xml><?xml version="1.0" encoding="utf-8"?>
<ds:datastoreItem xmlns:ds="http://schemas.openxmlformats.org/officeDocument/2006/customXml" ds:itemID="{C135CE85-213C-4317-96D3-764E3526720E}"/>
</file>

<file path=customXml/itemProps3.xml><?xml version="1.0" encoding="utf-8"?>
<ds:datastoreItem xmlns:ds="http://schemas.openxmlformats.org/officeDocument/2006/customXml" ds:itemID="{CCFEB9E9-45B4-4F0D-A2EF-6656F5747730}"/>
</file>

<file path=customXml/itemProps4.xml><?xml version="1.0" encoding="utf-8"?>
<ds:datastoreItem xmlns:ds="http://schemas.openxmlformats.org/officeDocument/2006/customXml" ds:itemID="{621FD13B-E7E6-48B0-9922-3DD159864AC1}"/>
</file>

<file path=docProps/app.xml><?xml version="1.0" encoding="utf-8"?>
<Properties xmlns="http://schemas.openxmlformats.org/officeDocument/2006/extended-properties" xmlns:vt="http://schemas.openxmlformats.org/officeDocument/2006/docPropsVTypes">
  <Template>Normal.dotm</Template>
  <TotalTime>73</TotalTime>
  <Pages>30</Pages>
  <Words>9820</Words>
  <Characters>55976</Characters>
  <Application>Microsoft Office Word</Application>
  <DocSecurity>0</DocSecurity>
  <Lines>466</Lines>
  <Paragraphs>131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עבודה סוציאלית עם אנשים בעוני בחברה העהתמקחות מתוך השוליים: עבודה סוציאלית עם אנשים בעוני בחברה הערבית-פלסטינית בישראלרבית-פלסטינית בישראל</vt:lpstr>
      <vt:lpstr>עבודה סוציאלית עם אנשים בעוני בחברה הערבית-פלסטינית בישראל</vt:lpstr>
    </vt:vector>
  </TitlesOfParts>
  <Company>Onit Computer Services Ltd</Company>
  <LinksUpToDate>false</LinksUpToDate>
  <CharactersWithSpaces>65665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עבודה סוציאלית עם אנשים בעוני בחברה העהתמקחות מתוך השוליים: עבודה סוציאלית עם אנשים בעוני בחברה הערבית-פלסטינית בישראלרבית-פלסטינית בישראל</dc:title>
  <dc:creator>Mordechai Frankel</dc:creator>
  <cp:lastModifiedBy>שולמית פרנקל</cp:lastModifiedBy>
  <cp:revision>14</cp:revision>
  <cp:lastPrinted>2024-11-12T17:47:00Z</cp:lastPrinted>
  <dcterms:created xsi:type="dcterms:W3CDTF">2024-09-17T12:31:00Z</dcterms:created>
  <dcterms:modified xsi:type="dcterms:W3CDTF">2024-11-12T17:48:00Z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0x0101005472649C3F1A584ABED4F413A1EF26B2</vt:lpwstr>
  </property>
  <property fmtid="{D5CDD505-2E9C-101B-9397-08002B2CF9AE}" pid="3" name="Order">
    <vt:r8>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